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1C3B7" w14:textId="77777777" w:rsidR="00DC46C1" w:rsidRPr="009548E1" w:rsidRDefault="00DC46C1" w:rsidP="00DC46C1">
      <w:pPr>
        <w:pStyle w:val="Naslov"/>
        <w:jc w:val="left"/>
        <w:rPr>
          <w:szCs w:val="28"/>
        </w:rPr>
      </w:pPr>
      <w:r w:rsidRPr="009548E1">
        <w:rPr>
          <w:szCs w:val="28"/>
        </w:rPr>
        <w:t>Državni proračun Republike Hrvatske</w:t>
      </w:r>
    </w:p>
    <w:p w14:paraId="2B5E4063" w14:textId="77777777" w:rsidR="00DC46C1" w:rsidRPr="009548E1" w:rsidRDefault="00DC46C1" w:rsidP="00DC46C1">
      <w:pPr>
        <w:pStyle w:val="Naslov"/>
        <w:jc w:val="left"/>
        <w:rPr>
          <w:szCs w:val="28"/>
        </w:rPr>
      </w:pPr>
      <w:r w:rsidRPr="009548E1">
        <w:rPr>
          <w:szCs w:val="28"/>
        </w:rPr>
        <w:t xml:space="preserve">Katančićeva 5 </w:t>
      </w:r>
    </w:p>
    <w:p w14:paraId="59D8E803" w14:textId="77777777" w:rsidR="00DC46C1" w:rsidRPr="009548E1" w:rsidRDefault="00DC46C1" w:rsidP="00DC46C1">
      <w:pPr>
        <w:pStyle w:val="Naslov"/>
        <w:jc w:val="left"/>
        <w:rPr>
          <w:szCs w:val="28"/>
        </w:rPr>
      </w:pPr>
      <w:r w:rsidRPr="009548E1">
        <w:rPr>
          <w:szCs w:val="28"/>
        </w:rPr>
        <w:t>10000 Zagreb</w:t>
      </w:r>
    </w:p>
    <w:p w14:paraId="714990F4" w14:textId="77777777" w:rsidR="00DC46C1" w:rsidRPr="009548E1" w:rsidRDefault="00DC46C1" w:rsidP="00DC46C1">
      <w:pPr>
        <w:pStyle w:val="Naslov"/>
        <w:jc w:val="left"/>
        <w:rPr>
          <w:szCs w:val="28"/>
        </w:rPr>
      </w:pPr>
      <w:r w:rsidRPr="009548E1">
        <w:rPr>
          <w:szCs w:val="28"/>
        </w:rPr>
        <w:t xml:space="preserve">Žiro račun: </w:t>
      </w:r>
      <w:r w:rsidRPr="009548E1">
        <w:rPr>
          <w:rStyle w:val="Naglaeno"/>
        </w:rPr>
        <w:t>HR1210010051863000160</w:t>
      </w:r>
    </w:p>
    <w:p w14:paraId="2E4AE6FD" w14:textId="77777777" w:rsidR="00DC46C1" w:rsidRPr="009548E1" w:rsidRDefault="00DC46C1" w:rsidP="00DC46C1">
      <w:pPr>
        <w:pStyle w:val="Naslov"/>
      </w:pPr>
    </w:p>
    <w:p w14:paraId="0A8C459D" w14:textId="77777777" w:rsidR="00DC46C1" w:rsidRPr="009548E1" w:rsidRDefault="00DC46C1" w:rsidP="00DC46C1">
      <w:pPr>
        <w:pStyle w:val="Naslov"/>
        <w:ind w:left="567" w:right="567"/>
        <w:outlineLvl w:val="0"/>
      </w:pPr>
      <w:r w:rsidRPr="009548E1">
        <w:t xml:space="preserve">BILJEŠKE UZ FINANCIJSKE IZVJEŠTAJE ZA RAZDOBLJE </w:t>
      </w:r>
    </w:p>
    <w:p w14:paraId="4257595F" w14:textId="77777777" w:rsidR="00DC46C1" w:rsidRPr="009548E1" w:rsidRDefault="00DC46C1" w:rsidP="00DC46C1">
      <w:pPr>
        <w:pStyle w:val="Naslov"/>
        <w:ind w:left="567" w:right="567"/>
        <w:outlineLvl w:val="0"/>
      </w:pPr>
      <w:r w:rsidRPr="009548E1">
        <w:t>1. SIJEČNJA – 31. PROSINCA 2023.</w:t>
      </w:r>
    </w:p>
    <w:p w14:paraId="2C0C7A57" w14:textId="77777777" w:rsidR="00DC46C1" w:rsidRPr="009548E1" w:rsidRDefault="00DC46C1" w:rsidP="00DC46C1">
      <w:pPr>
        <w:rPr>
          <w:b/>
          <w:bCs/>
        </w:rPr>
      </w:pPr>
    </w:p>
    <w:p w14:paraId="75BE1380" w14:textId="77777777" w:rsidR="00DC46C1" w:rsidRPr="009548E1" w:rsidRDefault="00DC46C1" w:rsidP="00DC46C1">
      <w:pPr>
        <w:pStyle w:val="Naslov"/>
      </w:pPr>
      <w:r w:rsidRPr="009548E1">
        <w:t>Zakonski okvir</w:t>
      </w:r>
    </w:p>
    <w:p w14:paraId="17FF02AC" w14:textId="77777777" w:rsidR="00DC46C1" w:rsidRPr="009548E1" w:rsidRDefault="00DC46C1" w:rsidP="00DC46C1"/>
    <w:p w14:paraId="2D164CFD" w14:textId="77777777" w:rsidR="00DC46C1" w:rsidRPr="009548E1" w:rsidRDefault="00DC46C1" w:rsidP="00DC46C1">
      <w:pPr>
        <w:numPr>
          <w:ilvl w:val="0"/>
          <w:numId w:val="1"/>
        </w:numPr>
        <w:jc w:val="both"/>
      </w:pPr>
      <w:r w:rsidRPr="009548E1">
        <w:t>Zakon o proračunu (Narodne novine, br. 144/21)</w:t>
      </w:r>
    </w:p>
    <w:p w14:paraId="4B944AD8" w14:textId="77777777" w:rsidR="00DC46C1" w:rsidRPr="009548E1" w:rsidRDefault="00DC46C1" w:rsidP="00DC46C1">
      <w:pPr>
        <w:numPr>
          <w:ilvl w:val="0"/>
          <w:numId w:val="1"/>
        </w:numPr>
        <w:jc w:val="both"/>
      </w:pPr>
      <w:bookmarkStart w:id="0" w:name="OLE_LINK3"/>
      <w:r w:rsidRPr="009548E1">
        <w:t>Zakon o izvršavanju Državnog proračuna Republike Hrvatske za 2023. godinu (Narodne novine, br.</w:t>
      </w:r>
      <w:bookmarkEnd w:id="0"/>
      <w:r w:rsidRPr="009548E1">
        <w:t xml:space="preserve"> 145/22, 63/23 i 129/23)</w:t>
      </w:r>
    </w:p>
    <w:p w14:paraId="13081E82" w14:textId="77777777" w:rsidR="00DC46C1" w:rsidRPr="009548E1" w:rsidRDefault="00DC46C1" w:rsidP="00DC46C1">
      <w:pPr>
        <w:numPr>
          <w:ilvl w:val="0"/>
          <w:numId w:val="1"/>
        </w:numPr>
        <w:jc w:val="both"/>
      </w:pPr>
      <w:r w:rsidRPr="009548E1">
        <w:t>Pravilnik o proračunskom računovodstvu i računskom planu (Narodne novine, br. 124/14, 115/15, 87/16, 3/18, 126/19 i 108/20)</w:t>
      </w:r>
    </w:p>
    <w:p w14:paraId="39871321" w14:textId="77777777" w:rsidR="00DC46C1" w:rsidRPr="009548E1" w:rsidRDefault="00DC46C1" w:rsidP="00DC46C1">
      <w:pPr>
        <w:numPr>
          <w:ilvl w:val="0"/>
          <w:numId w:val="1"/>
        </w:numPr>
        <w:jc w:val="both"/>
      </w:pPr>
      <w:r w:rsidRPr="009548E1">
        <w:t>Pravilnik o financijskom izvještavanju u proračunskom računovodstvu (Narodne novine, br. 37/22)</w:t>
      </w:r>
    </w:p>
    <w:p w14:paraId="0DF5B1C8" w14:textId="77777777" w:rsidR="00DC46C1" w:rsidRPr="009548E1" w:rsidRDefault="00DC46C1" w:rsidP="00DC46C1">
      <w:pPr>
        <w:numPr>
          <w:ilvl w:val="0"/>
          <w:numId w:val="1"/>
        </w:numPr>
        <w:jc w:val="both"/>
      </w:pPr>
      <w:r w:rsidRPr="009548E1">
        <w:t xml:space="preserve">Pravilnik o proračunskim klasifikacijama (Narodne novine, br. 6/10, 120/13 i 1/20) </w:t>
      </w:r>
    </w:p>
    <w:p w14:paraId="25B20280" w14:textId="77777777" w:rsidR="00DC46C1" w:rsidRPr="009548E1" w:rsidRDefault="00DC46C1" w:rsidP="00DC46C1">
      <w:pPr>
        <w:rPr>
          <w:b/>
          <w:bCs/>
          <w:sz w:val="28"/>
        </w:rPr>
      </w:pPr>
    </w:p>
    <w:p w14:paraId="3916AEDC" w14:textId="77777777" w:rsidR="00DC46C1" w:rsidRPr="009548E1" w:rsidRDefault="00DC46C1" w:rsidP="00DC46C1">
      <w:pPr>
        <w:pStyle w:val="Naslov1"/>
      </w:pPr>
      <w:r w:rsidRPr="009548E1">
        <w:t>BILJEŠKE UZ IZVJEŠTAJ O PRIHODIMA I RASHODIMA, PRIMICIMA I IZDACIMA</w:t>
      </w:r>
    </w:p>
    <w:p w14:paraId="363EF6E7" w14:textId="77777777" w:rsidR="00DC46C1" w:rsidRPr="009548E1" w:rsidRDefault="00DC46C1" w:rsidP="00DC46C1">
      <w:pPr>
        <w:rPr>
          <w:b/>
          <w:bCs/>
        </w:rPr>
      </w:pPr>
    </w:p>
    <w:p w14:paraId="2892D29D" w14:textId="77777777" w:rsidR="00DC46C1" w:rsidRPr="009548E1" w:rsidRDefault="00DC46C1" w:rsidP="00DC46C1">
      <w:pPr>
        <w:pStyle w:val="Naslov"/>
        <w:rPr>
          <w:b w:val="0"/>
          <w:bCs w:val="0"/>
        </w:rPr>
      </w:pPr>
      <w:r w:rsidRPr="009548E1">
        <w:rPr>
          <w:b w:val="0"/>
          <w:bCs w:val="0"/>
        </w:rPr>
        <w:t xml:space="preserve">Bilješka 1. </w:t>
      </w:r>
    </w:p>
    <w:p w14:paraId="23A68A95" w14:textId="77777777" w:rsidR="00DC46C1" w:rsidRPr="009548E1" w:rsidRDefault="00DC46C1" w:rsidP="00DC46C1">
      <w:pPr>
        <w:pStyle w:val="Naslov"/>
        <w:rPr>
          <w:b w:val="0"/>
          <w:bCs w:val="0"/>
        </w:rPr>
      </w:pPr>
    </w:p>
    <w:p w14:paraId="471F3CC9" w14:textId="77777777" w:rsidR="00DC46C1" w:rsidRPr="009548E1" w:rsidRDefault="00DC46C1" w:rsidP="00DC46C1">
      <w:pPr>
        <w:jc w:val="both"/>
        <w:rPr>
          <w:shd w:val="clear" w:color="auto" w:fill="FFFFFF"/>
        </w:rPr>
      </w:pPr>
      <w:r w:rsidRPr="009548E1">
        <w:t>Izvještaj o prihodima i rashodima, primicima i izdacima sastavljen je za razdoblje 1. siječnja do 31. prosinca 2023. godine i uključuje prihode i primitke, rashode i izdatke Državnog proračuna odnosno poslovne događaje glave 06 Ministarstva financija – ostali izdaci države evidentirane u Glavnoj knjizi državnog proračuna.</w:t>
      </w:r>
      <w:r w:rsidRPr="009548E1">
        <w:rPr>
          <w:shd w:val="clear" w:color="auto" w:fill="FFFFFF"/>
        </w:rPr>
        <w:t xml:space="preserve"> U ovom izvještaju ne iskazuju se prihodi i rashodi, primici i izdaci proračunskih korisnika po prirodnoj vrsti troška jer su oni na taj način iskazani u glavnim knjigama proračunskih korisnika i njihovim financijskim izvještajima. U ovom izvještaju iskazuju se prijenosi proračunskim korisnicima za financiranje njihove redovne djelatnosti koji se kod izrade konsolidiranog financijskog izvještaja državnog proračuna eliminiraju s obzirom da se radi o međusobnim transakcijama između Državnog proračuna i proračunskih korisnika državnog proračuna.</w:t>
      </w:r>
    </w:p>
    <w:p w14:paraId="146BCFE0" w14:textId="77777777" w:rsidR="00DC46C1" w:rsidRPr="009548E1" w:rsidRDefault="00DC46C1" w:rsidP="00DC46C1">
      <w:pPr>
        <w:pStyle w:val="Tijeloteksta"/>
      </w:pPr>
    </w:p>
    <w:p w14:paraId="07128A96" w14:textId="77777777" w:rsidR="00DC46C1" w:rsidRPr="009548E1" w:rsidRDefault="00DC46C1" w:rsidP="00DC46C1">
      <w:pPr>
        <w:pStyle w:val="Tijeloteksta"/>
      </w:pPr>
      <w:r w:rsidRPr="009548E1">
        <w:t xml:space="preserve">Podaci za popunjavanje financijskih izvještaja dobivaju se iz Glavne knjige proračuna koju informatički podržava SAP sustav. </w:t>
      </w:r>
    </w:p>
    <w:p w14:paraId="6D5B5789" w14:textId="77777777" w:rsidR="00DC46C1" w:rsidRPr="009548E1" w:rsidRDefault="00DC46C1" w:rsidP="00DC46C1">
      <w:pPr>
        <w:pStyle w:val="Tijeloteksta"/>
      </w:pPr>
    </w:p>
    <w:p w14:paraId="643A01B4" w14:textId="08BCFB15" w:rsidR="00DC46C1" w:rsidRPr="009548E1" w:rsidRDefault="00DC46C1" w:rsidP="00DC46C1">
      <w:pPr>
        <w:pStyle w:val="Tijeloteksta"/>
      </w:pPr>
      <w:r w:rsidRPr="009548E1">
        <w:t>Poslovanje Državnog proračuna obavlja se preko jedinstvenog računa riznice u HNB broj: HR1210010051863000160 za poslovanje</w:t>
      </w:r>
      <w:r w:rsidR="001D561B">
        <w:t xml:space="preserve"> u službenoj valuti Republike Hrvatske</w:t>
      </w:r>
      <w:r w:rsidRPr="009548E1">
        <w:t xml:space="preserve"> i deviznih računa u poslovnim bankama. </w:t>
      </w:r>
    </w:p>
    <w:p w14:paraId="206035A0" w14:textId="77777777" w:rsidR="002E2D56" w:rsidRPr="009548E1" w:rsidRDefault="002E2D56" w:rsidP="00DC46C1">
      <w:pPr>
        <w:pStyle w:val="Tijeloteksta"/>
      </w:pPr>
    </w:p>
    <w:p w14:paraId="25F60FCC" w14:textId="77777777" w:rsidR="002E2D56" w:rsidRPr="009548E1" w:rsidRDefault="002E2D56" w:rsidP="00DC46C1">
      <w:pPr>
        <w:pStyle w:val="Tijeloteksta"/>
      </w:pPr>
    </w:p>
    <w:p w14:paraId="6BC8C253" w14:textId="77777777" w:rsidR="00380609" w:rsidRPr="009548E1" w:rsidRDefault="00380609" w:rsidP="00380609">
      <w:pPr>
        <w:pStyle w:val="Naslov"/>
        <w:rPr>
          <w:b w:val="0"/>
          <w:bCs w:val="0"/>
        </w:rPr>
      </w:pPr>
      <w:r w:rsidRPr="009548E1">
        <w:rPr>
          <w:b w:val="0"/>
          <w:bCs w:val="0"/>
        </w:rPr>
        <w:t>Bilješka 2.</w:t>
      </w:r>
    </w:p>
    <w:p w14:paraId="0FD3D35B" w14:textId="77777777" w:rsidR="00380609" w:rsidRPr="009548E1" w:rsidRDefault="00380609" w:rsidP="00380609">
      <w:pPr>
        <w:pStyle w:val="Tijeloteksta"/>
        <w:jc w:val="left"/>
      </w:pPr>
    </w:p>
    <w:p w14:paraId="4C5FFE6F" w14:textId="77777777" w:rsidR="00380609" w:rsidRPr="009548E1" w:rsidRDefault="00380609" w:rsidP="00380609">
      <w:pPr>
        <w:pStyle w:val="Tijeloteksta"/>
        <w:jc w:val="left"/>
      </w:pPr>
      <w:r w:rsidRPr="009548E1">
        <w:t>U obrascu PR-RAS iskazani su:</w:t>
      </w:r>
    </w:p>
    <w:tbl>
      <w:tblPr>
        <w:tblW w:w="93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088"/>
        <w:gridCol w:w="2268"/>
      </w:tblGrid>
      <w:tr w:rsidR="00380609" w:rsidRPr="009548E1" w14:paraId="5D9EF9B5" w14:textId="77777777" w:rsidTr="006440F9">
        <w:trPr>
          <w:trHeight w:val="340"/>
        </w:trPr>
        <w:tc>
          <w:tcPr>
            <w:tcW w:w="7088" w:type="dxa"/>
            <w:shd w:val="clear" w:color="auto" w:fill="auto"/>
            <w:vAlign w:val="center"/>
          </w:tcPr>
          <w:p w14:paraId="19B0C0E4" w14:textId="77777777" w:rsidR="00380609" w:rsidRPr="009548E1" w:rsidRDefault="00380609" w:rsidP="00380609">
            <w:pPr>
              <w:pStyle w:val="Tijeloteksta"/>
              <w:numPr>
                <w:ilvl w:val="0"/>
                <w:numId w:val="2"/>
              </w:numPr>
              <w:ind w:left="459"/>
              <w:jc w:val="left"/>
            </w:pPr>
            <w:bookmarkStart w:id="1" w:name="_Hlk382850900"/>
            <w:r w:rsidRPr="009548E1">
              <w:t>ukupni prihodi poslovanja (Šifra 6)</w:t>
            </w:r>
          </w:p>
        </w:tc>
        <w:tc>
          <w:tcPr>
            <w:tcW w:w="2268" w:type="dxa"/>
            <w:shd w:val="clear" w:color="auto" w:fill="auto"/>
            <w:vAlign w:val="center"/>
          </w:tcPr>
          <w:p w14:paraId="2CE4B921" w14:textId="22E3891C" w:rsidR="00380609" w:rsidRPr="009548E1" w:rsidRDefault="00493121" w:rsidP="006440F9">
            <w:pPr>
              <w:pStyle w:val="Tijeloteksta"/>
              <w:jc w:val="right"/>
            </w:pPr>
            <w:r w:rsidRPr="009548E1">
              <w:t>16.866.022.993,97</w:t>
            </w:r>
          </w:p>
        </w:tc>
      </w:tr>
      <w:tr w:rsidR="00380609" w:rsidRPr="009548E1" w14:paraId="48581C7A" w14:textId="77777777" w:rsidTr="006440F9">
        <w:trPr>
          <w:trHeight w:val="340"/>
        </w:trPr>
        <w:tc>
          <w:tcPr>
            <w:tcW w:w="7088" w:type="dxa"/>
            <w:shd w:val="clear" w:color="auto" w:fill="auto"/>
            <w:vAlign w:val="center"/>
          </w:tcPr>
          <w:p w14:paraId="36DE82F9" w14:textId="77777777" w:rsidR="00380609" w:rsidRPr="009548E1" w:rsidRDefault="00380609" w:rsidP="00380609">
            <w:pPr>
              <w:pStyle w:val="Tijeloteksta"/>
              <w:numPr>
                <w:ilvl w:val="0"/>
                <w:numId w:val="2"/>
              </w:numPr>
              <w:ind w:left="459"/>
              <w:jc w:val="left"/>
            </w:pPr>
            <w:r w:rsidRPr="009548E1">
              <w:lastRenderedPageBreak/>
              <w:t xml:space="preserve">ukupni rashodi poslovanja (Šifra 3) </w:t>
            </w:r>
          </w:p>
        </w:tc>
        <w:tc>
          <w:tcPr>
            <w:tcW w:w="2268" w:type="dxa"/>
            <w:shd w:val="clear" w:color="auto" w:fill="auto"/>
            <w:vAlign w:val="center"/>
          </w:tcPr>
          <w:p w14:paraId="11536BB8" w14:textId="1DB65A45" w:rsidR="00380609" w:rsidRPr="009548E1" w:rsidRDefault="00493121" w:rsidP="006440F9">
            <w:pPr>
              <w:pStyle w:val="Tijeloteksta"/>
              <w:jc w:val="right"/>
            </w:pPr>
            <w:r w:rsidRPr="009548E1">
              <w:t>18.124.739.297,21</w:t>
            </w:r>
          </w:p>
        </w:tc>
      </w:tr>
      <w:tr w:rsidR="00380609" w:rsidRPr="009548E1" w14:paraId="32770E5A" w14:textId="77777777" w:rsidTr="006440F9">
        <w:trPr>
          <w:trHeight w:val="340"/>
        </w:trPr>
        <w:tc>
          <w:tcPr>
            <w:tcW w:w="7088" w:type="dxa"/>
            <w:shd w:val="clear" w:color="auto" w:fill="auto"/>
            <w:vAlign w:val="center"/>
          </w:tcPr>
          <w:p w14:paraId="77495BB8" w14:textId="77777777" w:rsidR="00380609" w:rsidRPr="009548E1" w:rsidRDefault="00380609" w:rsidP="006440F9">
            <w:pPr>
              <w:pStyle w:val="Tijeloteksta"/>
              <w:ind w:firstLine="1026"/>
              <w:jc w:val="left"/>
              <w:rPr>
                <w:b/>
                <w:bCs/>
                <w:i/>
                <w:iCs/>
              </w:rPr>
            </w:pPr>
            <w:r w:rsidRPr="009548E1">
              <w:rPr>
                <w:b/>
                <w:bCs/>
                <w:i/>
                <w:iCs/>
              </w:rPr>
              <w:t>manjak prihoda poslovanja (</w:t>
            </w:r>
            <w:r w:rsidRPr="009548E1">
              <w:t>Šifra Y001</w:t>
            </w:r>
            <w:r w:rsidRPr="009548E1">
              <w:rPr>
                <w:b/>
                <w:bCs/>
                <w:i/>
                <w:iCs/>
              </w:rPr>
              <w:t>)</w:t>
            </w:r>
          </w:p>
        </w:tc>
        <w:tc>
          <w:tcPr>
            <w:tcW w:w="2268" w:type="dxa"/>
            <w:shd w:val="clear" w:color="auto" w:fill="auto"/>
            <w:vAlign w:val="center"/>
          </w:tcPr>
          <w:p w14:paraId="54509528" w14:textId="01003CA2" w:rsidR="00380609" w:rsidRPr="009548E1" w:rsidRDefault="00493121" w:rsidP="006440F9">
            <w:pPr>
              <w:pStyle w:val="Tijeloteksta"/>
              <w:jc w:val="right"/>
              <w:rPr>
                <w:b/>
                <w:bCs/>
                <w:i/>
                <w:iCs/>
              </w:rPr>
            </w:pPr>
            <w:r w:rsidRPr="009548E1">
              <w:rPr>
                <w:b/>
                <w:bCs/>
                <w:i/>
                <w:iCs/>
              </w:rPr>
              <w:t>1.258.716.303,24</w:t>
            </w:r>
          </w:p>
        </w:tc>
      </w:tr>
      <w:tr w:rsidR="00380609" w:rsidRPr="009548E1" w14:paraId="5E170B3B" w14:textId="77777777" w:rsidTr="006440F9">
        <w:trPr>
          <w:trHeight w:val="340"/>
        </w:trPr>
        <w:tc>
          <w:tcPr>
            <w:tcW w:w="7088" w:type="dxa"/>
            <w:shd w:val="clear" w:color="auto" w:fill="auto"/>
            <w:vAlign w:val="center"/>
          </w:tcPr>
          <w:p w14:paraId="1C6E5EFA" w14:textId="77777777" w:rsidR="00380609" w:rsidRPr="009548E1" w:rsidRDefault="00380609" w:rsidP="00380609">
            <w:pPr>
              <w:pStyle w:val="Tijeloteksta"/>
              <w:numPr>
                <w:ilvl w:val="0"/>
                <w:numId w:val="2"/>
              </w:numPr>
              <w:ind w:left="459"/>
              <w:jc w:val="left"/>
            </w:pPr>
            <w:r w:rsidRPr="009548E1">
              <w:t>ukupni prihodi od prodaje nefinancijske imovine (Šifra 7)</w:t>
            </w:r>
          </w:p>
        </w:tc>
        <w:tc>
          <w:tcPr>
            <w:tcW w:w="2268" w:type="dxa"/>
            <w:shd w:val="clear" w:color="auto" w:fill="auto"/>
            <w:vAlign w:val="center"/>
          </w:tcPr>
          <w:p w14:paraId="513E4CD9" w14:textId="27261E8F" w:rsidR="00380609" w:rsidRPr="009548E1" w:rsidRDefault="00493121" w:rsidP="006440F9">
            <w:pPr>
              <w:pStyle w:val="Tijeloteksta"/>
              <w:jc w:val="right"/>
            </w:pPr>
            <w:r w:rsidRPr="009548E1">
              <w:t>30.959.236,31</w:t>
            </w:r>
          </w:p>
        </w:tc>
      </w:tr>
      <w:tr w:rsidR="00380609" w:rsidRPr="009548E1" w14:paraId="251BBDC6" w14:textId="77777777" w:rsidTr="006440F9">
        <w:trPr>
          <w:trHeight w:val="340"/>
        </w:trPr>
        <w:tc>
          <w:tcPr>
            <w:tcW w:w="7088" w:type="dxa"/>
            <w:shd w:val="clear" w:color="auto" w:fill="auto"/>
            <w:vAlign w:val="center"/>
          </w:tcPr>
          <w:p w14:paraId="3516AD94" w14:textId="77777777" w:rsidR="00380609" w:rsidRPr="009548E1" w:rsidRDefault="00380609" w:rsidP="00380609">
            <w:pPr>
              <w:pStyle w:val="Tijeloteksta"/>
              <w:numPr>
                <w:ilvl w:val="0"/>
                <w:numId w:val="2"/>
              </w:numPr>
              <w:jc w:val="left"/>
            </w:pPr>
            <w:r w:rsidRPr="009548E1">
              <w:t>ukupni rashodi za nabavu nefinancijske imovine (Šifra 4)</w:t>
            </w:r>
          </w:p>
        </w:tc>
        <w:tc>
          <w:tcPr>
            <w:tcW w:w="2268" w:type="dxa"/>
            <w:shd w:val="clear" w:color="auto" w:fill="auto"/>
            <w:vAlign w:val="center"/>
          </w:tcPr>
          <w:p w14:paraId="420DC3C2" w14:textId="62168825" w:rsidR="00380609" w:rsidRPr="009548E1" w:rsidRDefault="00493121" w:rsidP="006440F9">
            <w:pPr>
              <w:pStyle w:val="Tijeloteksta"/>
              <w:jc w:val="right"/>
            </w:pPr>
            <w:r w:rsidRPr="009548E1">
              <w:t>0,00</w:t>
            </w:r>
          </w:p>
        </w:tc>
      </w:tr>
      <w:tr w:rsidR="00380609" w:rsidRPr="009548E1" w14:paraId="1403252E" w14:textId="77777777" w:rsidTr="006440F9">
        <w:trPr>
          <w:trHeight w:val="340"/>
        </w:trPr>
        <w:tc>
          <w:tcPr>
            <w:tcW w:w="7088" w:type="dxa"/>
            <w:shd w:val="clear" w:color="auto" w:fill="auto"/>
            <w:vAlign w:val="center"/>
          </w:tcPr>
          <w:p w14:paraId="344C15AB" w14:textId="77777777" w:rsidR="00380609" w:rsidRPr="009548E1" w:rsidRDefault="00380609" w:rsidP="006440F9">
            <w:pPr>
              <w:pStyle w:val="Tijeloteksta"/>
              <w:ind w:firstLine="1026"/>
              <w:jc w:val="left"/>
              <w:rPr>
                <w:b/>
                <w:bCs/>
                <w:i/>
                <w:iCs/>
              </w:rPr>
            </w:pPr>
            <w:r w:rsidRPr="009548E1">
              <w:rPr>
                <w:b/>
                <w:bCs/>
                <w:i/>
                <w:iCs/>
              </w:rPr>
              <w:t>višak prihoda od nefinancijske imovine (Šifra X002)</w:t>
            </w:r>
          </w:p>
        </w:tc>
        <w:tc>
          <w:tcPr>
            <w:tcW w:w="2268" w:type="dxa"/>
            <w:shd w:val="clear" w:color="auto" w:fill="auto"/>
            <w:vAlign w:val="center"/>
          </w:tcPr>
          <w:p w14:paraId="65E8188F" w14:textId="6050998F" w:rsidR="00380609" w:rsidRPr="009548E1" w:rsidRDefault="00493121" w:rsidP="006440F9">
            <w:pPr>
              <w:pStyle w:val="Tijeloteksta"/>
              <w:jc w:val="right"/>
              <w:rPr>
                <w:b/>
                <w:bCs/>
                <w:i/>
                <w:iCs/>
              </w:rPr>
            </w:pPr>
            <w:r w:rsidRPr="009548E1">
              <w:rPr>
                <w:b/>
                <w:bCs/>
                <w:i/>
                <w:iCs/>
              </w:rPr>
              <w:t>30.959.236,31</w:t>
            </w:r>
          </w:p>
        </w:tc>
      </w:tr>
      <w:tr w:rsidR="00380609" w:rsidRPr="009548E1" w14:paraId="4B505FBA" w14:textId="77777777" w:rsidTr="006440F9">
        <w:trPr>
          <w:trHeight w:val="340"/>
        </w:trPr>
        <w:tc>
          <w:tcPr>
            <w:tcW w:w="7088" w:type="dxa"/>
            <w:shd w:val="clear" w:color="auto" w:fill="auto"/>
            <w:vAlign w:val="center"/>
          </w:tcPr>
          <w:p w14:paraId="57B61985" w14:textId="77777777" w:rsidR="00380609" w:rsidRPr="009548E1" w:rsidRDefault="00380609" w:rsidP="00380609">
            <w:pPr>
              <w:pStyle w:val="Tijeloteksta"/>
              <w:numPr>
                <w:ilvl w:val="0"/>
                <w:numId w:val="2"/>
              </w:numPr>
              <w:jc w:val="left"/>
            </w:pPr>
            <w:r w:rsidRPr="009548E1">
              <w:t>ukupni primici od financijske imovine i zaduživanja (Šifra 8)</w:t>
            </w:r>
          </w:p>
        </w:tc>
        <w:tc>
          <w:tcPr>
            <w:tcW w:w="2268" w:type="dxa"/>
            <w:shd w:val="clear" w:color="auto" w:fill="auto"/>
            <w:vAlign w:val="center"/>
          </w:tcPr>
          <w:p w14:paraId="7FFDEBEA" w14:textId="2ECB25CF" w:rsidR="00380609" w:rsidRPr="009548E1" w:rsidRDefault="00D2178A" w:rsidP="006440F9">
            <w:pPr>
              <w:pStyle w:val="Tijeloteksta"/>
              <w:jc w:val="right"/>
            </w:pPr>
            <w:r w:rsidRPr="009548E1">
              <w:t>6.975.549.376,48</w:t>
            </w:r>
          </w:p>
        </w:tc>
      </w:tr>
      <w:tr w:rsidR="00380609" w:rsidRPr="009548E1" w14:paraId="439D19F0" w14:textId="77777777" w:rsidTr="006440F9">
        <w:trPr>
          <w:trHeight w:val="340"/>
        </w:trPr>
        <w:tc>
          <w:tcPr>
            <w:tcW w:w="7088" w:type="dxa"/>
            <w:shd w:val="clear" w:color="auto" w:fill="auto"/>
            <w:vAlign w:val="center"/>
          </w:tcPr>
          <w:p w14:paraId="657535D0" w14:textId="77777777" w:rsidR="00380609" w:rsidRPr="009548E1" w:rsidRDefault="00380609" w:rsidP="00380609">
            <w:pPr>
              <w:pStyle w:val="Tijeloteksta"/>
              <w:numPr>
                <w:ilvl w:val="0"/>
                <w:numId w:val="2"/>
              </w:numPr>
              <w:jc w:val="left"/>
            </w:pPr>
            <w:r w:rsidRPr="009548E1">
              <w:t>ukupni izdaci za financijsku imovinu i otplate zajmova (Šifra 5)</w:t>
            </w:r>
          </w:p>
        </w:tc>
        <w:tc>
          <w:tcPr>
            <w:tcW w:w="2268" w:type="dxa"/>
            <w:shd w:val="clear" w:color="auto" w:fill="auto"/>
            <w:vAlign w:val="center"/>
          </w:tcPr>
          <w:p w14:paraId="5C9E6532" w14:textId="51C1A602" w:rsidR="00380609" w:rsidRPr="009548E1" w:rsidRDefault="00D2178A" w:rsidP="006440F9">
            <w:pPr>
              <w:pStyle w:val="Tijeloteksta"/>
              <w:jc w:val="right"/>
            </w:pPr>
            <w:r w:rsidRPr="009548E1">
              <w:t>4.380.472.658,98</w:t>
            </w:r>
          </w:p>
        </w:tc>
      </w:tr>
      <w:tr w:rsidR="00380609" w:rsidRPr="009548E1" w14:paraId="3878FE85" w14:textId="77777777" w:rsidTr="006440F9">
        <w:trPr>
          <w:trHeight w:val="340"/>
        </w:trPr>
        <w:tc>
          <w:tcPr>
            <w:tcW w:w="7088" w:type="dxa"/>
            <w:shd w:val="clear" w:color="auto" w:fill="auto"/>
            <w:vAlign w:val="center"/>
          </w:tcPr>
          <w:p w14:paraId="7CF8DFCE" w14:textId="37A1A10A" w:rsidR="00380609" w:rsidRPr="009548E1" w:rsidRDefault="00D2178A" w:rsidP="006440F9">
            <w:pPr>
              <w:pStyle w:val="Tijeloteksta"/>
              <w:ind w:firstLine="1026"/>
              <w:jc w:val="left"/>
              <w:rPr>
                <w:b/>
                <w:bCs/>
                <w:i/>
                <w:iCs/>
              </w:rPr>
            </w:pPr>
            <w:r w:rsidRPr="009548E1">
              <w:rPr>
                <w:b/>
                <w:bCs/>
                <w:i/>
                <w:iCs/>
              </w:rPr>
              <w:t>višak od financijske imovine (Šifra X</w:t>
            </w:r>
            <w:r w:rsidR="00380609" w:rsidRPr="009548E1">
              <w:rPr>
                <w:b/>
                <w:bCs/>
                <w:i/>
                <w:iCs/>
              </w:rPr>
              <w:t xml:space="preserve">003) </w:t>
            </w:r>
          </w:p>
        </w:tc>
        <w:tc>
          <w:tcPr>
            <w:tcW w:w="2268" w:type="dxa"/>
            <w:shd w:val="clear" w:color="auto" w:fill="auto"/>
            <w:vAlign w:val="center"/>
          </w:tcPr>
          <w:p w14:paraId="72AED6F2" w14:textId="30B39B68" w:rsidR="00380609" w:rsidRPr="009548E1" w:rsidRDefault="00D2178A" w:rsidP="006440F9">
            <w:pPr>
              <w:pStyle w:val="Tijeloteksta"/>
              <w:jc w:val="right"/>
              <w:rPr>
                <w:b/>
                <w:bCs/>
                <w:i/>
                <w:iCs/>
              </w:rPr>
            </w:pPr>
            <w:r w:rsidRPr="009548E1">
              <w:rPr>
                <w:b/>
                <w:bCs/>
                <w:i/>
                <w:iCs/>
              </w:rPr>
              <w:t>2.595.076.717,50</w:t>
            </w:r>
          </w:p>
        </w:tc>
      </w:tr>
      <w:tr w:rsidR="00380609" w:rsidRPr="009548E1" w14:paraId="70E31657" w14:textId="77777777" w:rsidTr="006440F9">
        <w:trPr>
          <w:trHeight w:val="340"/>
        </w:trPr>
        <w:tc>
          <w:tcPr>
            <w:tcW w:w="7088" w:type="dxa"/>
            <w:shd w:val="clear" w:color="auto" w:fill="auto"/>
            <w:vAlign w:val="center"/>
          </w:tcPr>
          <w:p w14:paraId="14C910DB" w14:textId="40679A21" w:rsidR="00380609" w:rsidRPr="009548E1" w:rsidRDefault="00D2178A" w:rsidP="006440F9">
            <w:pPr>
              <w:pStyle w:val="Tijeloteksta"/>
              <w:ind w:firstLine="1026"/>
              <w:jc w:val="left"/>
              <w:rPr>
                <w:b/>
                <w:bCs/>
                <w:i/>
                <w:iCs/>
              </w:rPr>
            </w:pPr>
            <w:r w:rsidRPr="009548E1">
              <w:rPr>
                <w:b/>
                <w:bCs/>
                <w:i/>
                <w:iCs/>
              </w:rPr>
              <w:t>višak prihoda i primitaka (Šifra X</w:t>
            </w:r>
            <w:r w:rsidR="00380609" w:rsidRPr="009548E1">
              <w:rPr>
                <w:b/>
                <w:bCs/>
                <w:i/>
                <w:iCs/>
              </w:rPr>
              <w:t>005)</w:t>
            </w:r>
          </w:p>
        </w:tc>
        <w:tc>
          <w:tcPr>
            <w:tcW w:w="2268" w:type="dxa"/>
            <w:shd w:val="clear" w:color="auto" w:fill="auto"/>
            <w:vAlign w:val="center"/>
          </w:tcPr>
          <w:p w14:paraId="0098618D" w14:textId="31A5DE97" w:rsidR="00380609" w:rsidRPr="009548E1" w:rsidRDefault="00D2178A" w:rsidP="006440F9">
            <w:pPr>
              <w:pStyle w:val="Tijeloteksta"/>
              <w:jc w:val="right"/>
              <w:rPr>
                <w:b/>
                <w:bCs/>
                <w:i/>
                <w:iCs/>
              </w:rPr>
            </w:pPr>
            <w:r w:rsidRPr="009548E1">
              <w:rPr>
                <w:b/>
                <w:bCs/>
                <w:i/>
                <w:iCs/>
              </w:rPr>
              <w:t>1.367.319.650,57</w:t>
            </w:r>
          </w:p>
        </w:tc>
      </w:tr>
      <w:bookmarkEnd w:id="1"/>
    </w:tbl>
    <w:p w14:paraId="52DD09AE" w14:textId="77777777" w:rsidR="00380609" w:rsidRPr="009548E1" w:rsidRDefault="00380609" w:rsidP="00380609">
      <w:pPr>
        <w:shd w:val="clear" w:color="auto" w:fill="FFFFFF"/>
        <w:rPr>
          <w:color w:val="000000"/>
        </w:rPr>
      </w:pPr>
    </w:p>
    <w:p w14:paraId="04C94A2E" w14:textId="4861F95E" w:rsidR="00380609" w:rsidRPr="009548E1" w:rsidRDefault="003E1D7A" w:rsidP="00380609">
      <w:pPr>
        <w:pStyle w:val="Naslov"/>
        <w:keepNext/>
        <w:jc w:val="both"/>
        <w:rPr>
          <w:b w:val="0"/>
          <w:bCs w:val="0"/>
          <w:sz w:val="24"/>
        </w:rPr>
      </w:pPr>
      <w:r w:rsidRPr="009548E1">
        <w:rPr>
          <w:b w:val="0"/>
          <w:bCs w:val="0"/>
          <w:sz w:val="24"/>
        </w:rPr>
        <w:t>Na ostvarenje prihoda državnog proračuna u 2023. godini utjecala su makroekonomska kretnja u gospodarstvu te učinci prihodnih mjera koje je Vlada RH don</w:t>
      </w:r>
      <w:r w:rsidR="00390CFC">
        <w:rPr>
          <w:b w:val="0"/>
          <w:bCs w:val="0"/>
          <w:sz w:val="24"/>
        </w:rPr>
        <w:t>ijela u travnju i listopadu 2023</w:t>
      </w:r>
      <w:r w:rsidRPr="009548E1">
        <w:rPr>
          <w:b w:val="0"/>
          <w:bCs w:val="0"/>
          <w:sz w:val="24"/>
        </w:rPr>
        <w:t xml:space="preserve">. godine u okviru paketa </w:t>
      </w:r>
      <w:r w:rsidR="00390CFC">
        <w:rPr>
          <w:b w:val="0"/>
          <w:bCs w:val="0"/>
          <w:sz w:val="24"/>
        </w:rPr>
        <w:t xml:space="preserve">mjera </w:t>
      </w:r>
      <w:r w:rsidRPr="009548E1">
        <w:rPr>
          <w:b w:val="0"/>
          <w:bCs w:val="0"/>
          <w:sz w:val="24"/>
        </w:rPr>
        <w:t>za zaštitu kućanstava i gospodarstva od rasta cijena. Značajan učinak na prihode proračuna imala su sredstva pomoći institucija i tijela EU. To se ponajprije odnosi na sredstva iz prethodnog, ali i novog Višegodišnjeg financijskog okvira 2021. – 2027. te iz Mehanizma za oporavak i otpornost, kao i na sredstva iz Fonda solidarnosti EU, koja su usmjerena na obnovu javne infrastrukture, ponajprije obrazovne, zdravstvene i kulturne, oštećene u razornim potresima na zagrebačkom i petrinjskom području.</w:t>
      </w:r>
      <w:r w:rsidR="00390CFC">
        <w:rPr>
          <w:b w:val="0"/>
          <w:bCs w:val="0"/>
          <w:sz w:val="24"/>
        </w:rPr>
        <w:t xml:space="preserve"> </w:t>
      </w:r>
      <w:r w:rsidR="00390CFC" w:rsidRPr="00390CFC">
        <w:rPr>
          <w:b w:val="0"/>
          <w:bCs w:val="0"/>
          <w:sz w:val="24"/>
        </w:rPr>
        <w:t>Porezne izmjene također su imate utjecaj na kretanje prihodne strane proračuna tijekom 2023. godine.</w:t>
      </w:r>
    </w:p>
    <w:p w14:paraId="6F8C75CE" w14:textId="77777777" w:rsidR="003E1D7A" w:rsidRPr="009548E1" w:rsidRDefault="003E1D7A" w:rsidP="00380609">
      <w:pPr>
        <w:pStyle w:val="Naslov"/>
        <w:keepNext/>
        <w:jc w:val="both"/>
        <w:rPr>
          <w:b w:val="0"/>
          <w:bCs w:val="0"/>
          <w:sz w:val="24"/>
        </w:rPr>
      </w:pPr>
    </w:p>
    <w:p w14:paraId="75248D74" w14:textId="5CC8E800" w:rsidR="003E1D7A" w:rsidRPr="009548E1" w:rsidRDefault="00390CFC" w:rsidP="00380609">
      <w:pPr>
        <w:pStyle w:val="Naslov"/>
        <w:keepNext/>
        <w:jc w:val="both"/>
        <w:rPr>
          <w:color w:val="000000"/>
        </w:rPr>
      </w:pPr>
      <w:r>
        <w:rPr>
          <w:b w:val="0"/>
          <w:bCs w:val="0"/>
          <w:sz w:val="24"/>
        </w:rPr>
        <w:t>U 2023. godini</w:t>
      </w:r>
      <w:r w:rsidR="003E1D7A" w:rsidRPr="009548E1">
        <w:rPr>
          <w:b w:val="0"/>
          <w:bCs w:val="0"/>
          <w:sz w:val="24"/>
        </w:rPr>
        <w:t xml:space="preserve"> prihodi poslovanja ostvareni</w:t>
      </w:r>
      <w:r>
        <w:rPr>
          <w:b w:val="0"/>
          <w:bCs w:val="0"/>
          <w:sz w:val="24"/>
        </w:rPr>
        <w:t xml:space="preserve"> su</w:t>
      </w:r>
      <w:r w:rsidR="003E1D7A" w:rsidRPr="009548E1">
        <w:rPr>
          <w:b w:val="0"/>
          <w:bCs w:val="0"/>
          <w:sz w:val="24"/>
        </w:rPr>
        <w:t xml:space="preserve"> u iznosu od </w:t>
      </w:r>
      <w:r w:rsidRPr="00390CFC">
        <w:rPr>
          <w:b w:val="0"/>
          <w:bCs w:val="0"/>
          <w:sz w:val="24"/>
        </w:rPr>
        <w:t>16.866.022.993,97</w:t>
      </w:r>
      <w:r w:rsidR="003E1D7A" w:rsidRPr="009548E1">
        <w:rPr>
          <w:b w:val="0"/>
          <w:bCs w:val="0"/>
          <w:sz w:val="24"/>
        </w:rPr>
        <w:t xml:space="preserve"> eura, odnosno 21,2% više u odnosu na prethodnu godinu, dok su rashodi poslovanja ostvareni u iznosu od </w:t>
      </w:r>
      <w:r w:rsidRPr="00390CFC">
        <w:rPr>
          <w:b w:val="0"/>
          <w:bCs w:val="0"/>
          <w:sz w:val="24"/>
        </w:rPr>
        <w:t>18.124.739.297,21</w:t>
      </w:r>
      <w:r>
        <w:rPr>
          <w:b w:val="0"/>
          <w:bCs w:val="0"/>
          <w:sz w:val="24"/>
        </w:rPr>
        <w:t xml:space="preserve"> </w:t>
      </w:r>
      <w:r w:rsidR="003E1D7A" w:rsidRPr="009548E1">
        <w:rPr>
          <w:b w:val="0"/>
          <w:bCs w:val="0"/>
          <w:sz w:val="24"/>
        </w:rPr>
        <w:t>eura, odnosno 23,5% više nego prethodne godine.</w:t>
      </w:r>
    </w:p>
    <w:p w14:paraId="392F84C1" w14:textId="77777777" w:rsidR="00380609" w:rsidRPr="009548E1" w:rsidRDefault="00380609" w:rsidP="00380609">
      <w:pPr>
        <w:shd w:val="clear" w:color="auto" w:fill="FFFFFF"/>
        <w:rPr>
          <w:color w:val="000000"/>
        </w:rPr>
      </w:pPr>
    </w:p>
    <w:p w14:paraId="7BCD8E8E" w14:textId="02F8EE2B" w:rsidR="00DD71CA" w:rsidRPr="009548E1" w:rsidRDefault="00380609" w:rsidP="00DD71CA">
      <w:pPr>
        <w:pStyle w:val="Naslov"/>
        <w:jc w:val="both"/>
        <w:rPr>
          <w:b w:val="0"/>
          <w:bCs w:val="0"/>
          <w:sz w:val="24"/>
        </w:rPr>
      </w:pPr>
      <w:r w:rsidRPr="009548E1">
        <w:rPr>
          <w:b w:val="0"/>
          <w:bCs w:val="0"/>
          <w:sz w:val="24"/>
        </w:rPr>
        <w:t xml:space="preserve">Rast ukupnih rashoda poslovanja proizašao je najvećim dijelom iz rasta rashoda za </w:t>
      </w:r>
      <w:r w:rsidR="00D62BE2" w:rsidRPr="009548E1">
        <w:rPr>
          <w:b w:val="0"/>
          <w:bCs w:val="0"/>
          <w:sz w:val="24"/>
        </w:rPr>
        <w:t>kamate za izdane trezorske zapise, rashoda za kamate za primljene kredite i zajmove od međunarodnih organizacija, institucija i tijela EU te inozemnih vlada, rashoda za kamate za primljene kredite i zajmove od kreditnih i ostalih financijskih institucija izvan javnog sektora</w:t>
      </w:r>
      <w:r w:rsidR="00EA20C6" w:rsidRPr="009548E1">
        <w:rPr>
          <w:b w:val="0"/>
          <w:bCs w:val="0"/>
          <w:sz w:val="24"/>
        </w:rPr>
        <w:t>, rashoda za pomoći unutar općeg proračuna po protestiranim jamstvima</w:t>
      </w:r>
      <w:r w:rsidR="00DD71CA" w:rsidRPr="009548E1">
        <w:rPr>
          <w:b w:val="0"/>
          <w:bCs w:val="0"/>
          <w:sz w:val="24"/>
        </w:rPr>
        <w:t xml:space="preserve"> te rashoda za prijenose proračunskim korisnicima iz nadležnog proračuna za financijsku imovinu i otplatu zajmova. Manjak prihoda poslovanja utvrđen za 2023. godinu iznosi </w:t>
      </w:r>
      <w:r w:rsidR="00390CFC">
        <w:rPr>
          <w:b w:val="0"/>
          <w:bCs w:val="0"/>
          <w:sz w:val="24"/>
        </w:rPr>
        <w:t>1.258.716.303,24</w:t>
      </w:r>
      <w:r w:rsidR="00DD71CA" w:rsidRPr="009548E1">
        <w:rPr>
          <w:b w:val="0"/>
          <w:bCs w:val="0"/>
          <w:sz w:val="24"/>
        </w:rPr>
        <w:t xml:space="preserve"> eura, dok je manjak prihoda poslovanja u 202</w:t>
      </w:r>
      <w:r w:rsidR="00390CFC">
        <w:rPr>
          <w:b w:val="0"/>
          <w:bCs w:val="0"/>
          <w:sz w:val="24"/>
        </w:rPr>
        <w:t>2. godini iznosio 757.612.515,33</w:t>
      </w:r>
      <w:r w:rsidR="00DD71CA" w:rsidRPr="009548E1">
        <w:rPr>
          <w:b w:val="0"/>
          <w:bCs w:val="0"/>
          <w:sz w:val="24"/>
        </w:rPr>
        <w:t xml:space="preserve"> eura, odnosno u 2023. godini manjak prihoda poslovanja veći je za 66,1% u odnosu na manjak utvrđen 2022. godine. Na povećanje manjka utjecalo je povećanje prethodno navedenih kategorija rashoda. U 2023. godinu prenesen je manjak prihoda poslovanja u iznosu od </w:t>
      </w:r>
      <w:r w:rsidR="00390CFC">
        <w:rPr>
          <w:b w:val="0"/>
          <w:bCs w:val="0"/>
          <w:sz w:val="24"/>
        </w:rPr>
        <w:t>12.479.299.476,85</w:t>
      </w:r>
      <w:r w:rsidR="00232BB5" w:rsidRPr="009548E1">
        <w:rPr>
          <w:b w:val="0"/>
          <w:bCs w:val="0"/>
          <w:sz w:val="24"/>
        </w:rPr>
        <w:t xml:space="preserve"> eura</w:t>
      </w:r>
      <w:r w:rsidR="00DD71CA" w:rsidRPr="009548E1">
        <w:rPr>
          <w:b w:val="0"/>
          <w:bCs w:val="0"/>
          <w:sz w:val="24"/>
        </w:rPr>
        <w:t>, pa ukupni manjak prihoda poslovanja za prijeno</w:t>
      </w:r>
      <w:r w:rsidR="00232BB5" w:rsidRPr="009548E1">
        <w:rPr>
          <w:b w:val="0"/>
          <w:bCs w:val="0"/>
          <w:sz w:val="24"/>
        </w:rPr>
        <w:t>s u 2024</w:t>
      </w:r>
      <w:r w:rsidR="00DD71CA" w:rsidRPr="009548E1">
        <w:rPr>
          <w:b w:val="0"/>
          <w:bCs w:val="0"/>
          <w:sz w:val="24"/>
        </w:rPr>
        <w:t xml:space="preserve">. godinu iznosi </w:t>
      </w:r>
      <w:r w:rsidR="00E956A2" w:rsidRPr="00E956A2">
        <w:rPr>
          <w:b w:val="0"/>
          <w:bCs w:val="0"/>
          <w:sz w:val="24"/>
        </w:rPr>
        <w:t>13.738.015.780,09</w:t>
      </w:r>
      <w:r w:rsidR="00E956A2">
        <w:rPr>
          <w:b w:val="0"/>
          <w:bCs w:val="0"/>
          <w:sz w:val="24"/>
        </w:rPr>
        <w:t xml:space="preserve"> </w:t>
      </w:r>
      <w:r w:rsidR="00232BB5" w:rsidRPr="009548E1">
        <w:rPr>
          <w:b w:val="0"/>
          <w:bCs w:val="0"/>
          <w:sz w:val="24"/>
        </w:rPr>
        <w:t>eura</w:t>
      </w:r>
      <w:r w:rsidR="00DD71CA" w:rsidRPr="009548E1">
        <w:rPr>
          <w:b w:val="0"/>
          <w:bCs w:val="0"/>
          <w:sz w:val="24"/>
        </w:rPr>
        <w:t>.</w:t>
      </w:r>
    </w:p>
    <w:p w14:paraId="1FE93F26" w14:textId="7E411E7F" w:rsidR="00380609" w:rsidRPr="009548E1" w:rsidRDefault="00380609" w:rsidP="00380609">
      <w:pPr>
        <w:shd w:val="clear" w:color="auto" w:fill="FFFFFF"/>
        <w:rPr>
          <w:color w:val="000000"/>
        </w:rPr>
      </w:pPr>
    </w:p>
    <w:p w14:paraId="52284B47" w14:textId="31B9FCBE" w:rsidR="00380609" w:rsidRPr="009548E1" w:rsidRDefault="00380609" w:rsidP="00380609">
      <w:pPr>
        <w:pStyle w:val="Naslov"/>
        <w:jc w:val="both"/>
        <w:rPr>
          <w:b w:val="0"/>
          <w:bCs w:val="0"/>
          <w:sz w:val="24"/>
        </w:rPr>
      </w:pPr>
      <w:r w:rsidRPr="009548E1">
        <w:rPr>
          <w:b w:val="0"/>
          <w:bCs w:val="0"/>
          <w:sz w:val="24"/>
        </w:rPr>
        <w:t>Prihodi od prodaje nefinanci</w:t>
      </w:r>
      <w:r w:rsidR="00C827D4" w:rsidRPr="009548E1">
        <w:rPr>
          <w:b w:val="0"/>
          <w:bCs w:val="0"/>
          <w:sz w:val="24"/>
        </w:rPr>
        <w:t xml:space="preserve">jske imovine ostvareni su u 2023. godini u iznosu </w:t>
      </w:r>
      <w:r w:rsidR="00E956A2">
        <w:rPr>
          <w:b w:val="0"/>
          <w:bCs w:val="0"/>
          <w:sz w:val="24"/>
        </w:rPr>
        <w:t>30.959.236,31</w:t>
      </w:r>
      <w:r w:rsidR="00C827D4" w:rsidRPr="009548E1">
        <w:rPr>
          <w:b w:val="0"/>
          <w:bCs w:val="0"/>
          <w:sz w:val="24"/>
        </w:rPr>
        <w:t xml:space="preserve"> eura</w:t>
      </w:r>
      <w:r w:rsidRPr="009548E1">
        <w:rPr>
          <w:b w:val="0"/>
          <w:bCs w:val="0"/>
          <w:sz w:val="24"/>
        </w:rPr>
        <w:t xml:space="preserve"> što predstavlja </w:t>
      </w:r>
      <w:r w:rsidR="00C827D4" w:rsidRPr="009548E1">
        <w:rPr>
          <w:b w:val="0"/>
          <w:bCs w:val="0"/>
          <w:sz w:val="24"/>
        </w:rPr>
        <w:t>smanjenje ostvarenja ovih prihoda od 66,2% u odnosu na ostvarenje u 2022</w:t>
      </w:r>
      <w:r w:rsidRPr="009548E1">
        <w:rPr>
          <w:b w:val="0"/>
          <w:bCs w:val="0"/>
          <w:sz w:val="24"/>
        </w:rPr>
        <w:t xml:space="preserve">. godini, s obzirom na to da je u 2022. godini u okviru prihoda od prodaje nefinancijske imovine evidentirana prodaja broda Nov. 514 temeljem sklopljenog ugovora o kupoprodaji između Ministarstva gospodarstva i održivog razvoja i kupca predmetnog broda. </w:t>
      </w:r>
      <w:r w:rsidR="00C827D4" w:rsidRPr="009548E1">
        <w:rPr>
          <w:b w:val="0"/>
          <w:bCs w:val="0"/>
          <w:sz w:val="24"/>
        </w:rPr>
        <w:t xml:space="preserve">U 2023. nije bilo poslovnih događaja u okviru rashoda za nabavu nefinancijske imovine, u odnosu na </w:t>
      </w:r>
      <w:r w:rsidR="00E956A2">
        <w:rPr>
          <w:b w:val="0"/>
          <w:bCs w:val="0"/>
          <w:sz w:val="24"/>
        </w:rPr>
        <w:t>3.002.389,01</w:t>
      </w:r>
      <w:r w:rsidR="00C827D4" w:rsidRPr="009548E1">
        <w:rPr>
          <w:b w:val="0"/>
          <w:bCs w:val="0"/>
          <w:sz w:val="24"/>
        </w:rPr>
        <w:t xml:space="preserve"> eura ostvarenih rashoda u 2022. godini. Na kraju 2023</w:t>
      </w:r>
      <w:r w:rsidRPr="009548E1">
        <w:rPr>
          <w:b w:val="0"/>
          <w:bCs w:val="0"/>
          <w:sz w:val="24"/>
        </w:rPr>
        <w:t xml:space="preserve">. godine utvrđen je višak prihoda od prodaje nefinancijske imovine u iznosu od </w:t>
      </w:r>
      <w:r w:rsidR="00E956A2">
        <w:rPr>
          <w:b w:val="0"/>
          <w:bCs w:val="0"/>
          <w:sz w:val="24"/>
        </w:rPr>
        <w:t>30.959.236,31 eura</w:t>
      </w:r>
      <w:r w:rsidRPr="009548E1">
        <w:rPr>
          <w:b w:val="0"/>
          <w:bCs w:val="0"/>
          <w:sz w:val="24"/>
        </w:rPr>
        <w:t xml:space="preserve">, što je </w:t>
      </w:r>
      <w:r w:rsidR="00C827D4" w:rsidRPr="009548E1">
        <w:rPr>
          <w:b w:val="0"/>
          <w:bCs w:val="0"/>
          <w:sz w:val="24"/>
        </w:rPr>
        <w:t>65,1% manje</w:t>
      </w:r>
      <w:r w:rsidRPr="009548E1">
        <w:rPr>
          <w:b w:val="0"/>
          <w:bCs w:val="0"/>
          <w:sz w:val="24"/>
        </w:rPr>
        <w:t xml:space="preserve"> ostvaren v</w:t>
      </w:r>
      <w:r w:rsidR="00C827D4" w:rsidRPr="009548E1">
        <w:rPr>
          <w:b w:val="0"/>
          <w:bCs w:val="0"/>
          <w:sz w:val="24"/>
        </w:rPr>
        <w:t>išak u odnosu na ostvareni višak u 2022</w:t>
      </w:r>
      <w:r w:rsidRPr="009548E1">
        <w:rPr>
          <w:b w:val="0"/>
          <w:bCs w:val="0"/>
          <w:sz w:val="24"/>
        </w:rPr>
        <w:t>. godini. Manjak prihoda od prodaje nefin</w:t>
      </w:r>
      <w:r w:rsidR="00C827D4" w:rsidRPr="009548E1">
        <w:rPr>
          <w:b w:val="0"/>
          <w:bCs w:val="0"/>
          <w:sz w:val="24"/>
        </w:rPr>
        <w:t xml:space="preserve">ancijske imovine prenesen u 2023. godini iznosi </w:t>
      </w:r>
      <w:r w:rsidR="00E956A2">
        <w:rPr>
          <w:b w:val="0"/>
          <w:bCs w:val="0"/>
          <w:sz w:val="24"/>
        </w:rPr>
        <w:t>8.504.203.762,68</w:t>
      </w:r>
      <w:r w:rsidR="00C827D4" w:rsidRPr="009548E1">
        <w:rPr>
          <w:b w:val="0"/>
          <w:bCs w:val="0"/>
          <w:sz w:val="24"/>
        </w:rPr>
        <w:t xml:space="preserve"> eura</w:t>
      </w:r>
      <w:r w:rsidRPr="009548E1">
        <w:rPr>
          <w:b w:val="0"/>
          <w:bCs w:val="0"/>
          <w:sz w:val="24"/>
        </w:rPr>
        <w:t>, pa ukupni manjak prihoda od prodaje nefinanc</w:t>
      </w:r>
      <w:r w:rsidR="00D02EBC" w:rsidRPr="009548E1">
        <w:rPr>
          <w:b w:val="0"/>
          <w:bCs w:val="0"/>
          <w:sz w:val="24"/>
        </w:rPr>
        <w:t>ijske imovine za prijenos u 2024</w:t>
      </w:r>
      <w:r w:rsidRPr="009548E1">
        <w:rPr>
          <w:b w:val="0"/>
          <w:bCs w:val="0"/>
          <w:sz w:val="24"/>
        </w:rPr>
        <w:t>.</w:t>
      </w:r>
      <w:r w:rsidR="00D02EBC" w:rsidRPr="009548E1">
        <w:rPr>
          <w:b w:val="0"/>
          <w:bCs w:val="0"/>
          <w:sz w:val="24"/>
        </w:rPr>
        <w:t xml:space="preserve"> godinu iznosi </w:t>
      </w:r>
      <w:r w:rsidR="00E956A2" w:rsidRPr="00E956A2">
        <w:rPr>
          <w:b w:val="0"/>
          <w:bCs w:val="0"/>
          <w:sz w:val="24"/>
        </w:rPr>
        <w:t>8.473.244.5</w:t>
      </w:r>
      <w:r w:rsidR="00E956A2">
        <w:rPr>
          <w:b w:val="0"/>
          <w:bCs w:val="0"/>
          <w:sz w:val="24"/>
        </w:rPr>
        <w:t xml:space="preserve">3 </w:t>
      </w:r>
      <w:r w:rsidR="00D02EBC" w:rsidRPr="009548E1">
        <w:rPr>
          <w:b w:val="0"/>
          <w:bCs w:val="0"/>
          <w:sz w:val="24"/>
        </w:rPr>
        <w:t>eura</w:t>
      </w:r>
      <w:r w:rsidRPr="009548E1">
        <w:rPr>
          <w:b w:val="0"/>
          <w:bCs w:val="0"/>
          <w:sz w:val="24"/>
        </w:rPr>
        <w:t>.</w:t>
      </w:r>
    </w:p>
    <w:p w14:paraId="6EDCBEA7" w14:textId="77777777" w:rsidR="00380609" w:rsidRPr="009548E1" w:rsidRDefault="00380609" w:rsidP="00380609"/>
    <w:p w14:paraId="2E71792F" w14:textId="5F7633E9" w:rsidR="00E10444" w:rsidRPr="009548E1" w:rsidRDefault="000E6BCA" w:rsidP="00E10444">
      <w:pPr>
        <w:pStyle w:val="Naslov"/>
        <w:jc w:val="both"/>
        <w:rPr>
          <w:b w:val="0"/>
          <w:bCs w:val="0"/>
          <w:sz w:val="24"/>
        </w:rPr>
      </w:pPr>
      <w:r w:rsidRPr="009548E1">
        <w:rPr>
          <w:b w:val="0"/>
          <w:bCs w:val="0"/>
          <w:sz w:val="24"/>
        </w:rPr>
        <w:t>U 2023</w:t>
      </w:r>
      <w:r w:rsidR="00380609" w:rsidRPr="009548E1">
        <w:rPr>
          <w:b w:val="0"/>
          <w:bCs w:val="0"/>
          <w:sz w:val="24"/>
        </w:rPr>
        <w:t xml:space="preserve">. godini su primici od financijske imovine i zaduživanja iznosili </w:t>
      </w:r>
      <w:r w:rsidR="000012D0">
        <w:rPr>
          <w:b w:val="0"/>
          <w:bCs w:val="0"/>
          <w:sz w:val="24"/>
        </w:rPr>
        <w:t>6.975.367,48</w:t>
      </w:r>
      <w:r w:rsidRPr="009548E1">
        <w:rPr>
          <w:b w:val="0"/>
          <w:bCs w:val="0"/>
          <w:sz w:val="24"/>
        </w:rPr>
        <w:t xml:space="preserve"> eura, odnosno povećali su se za 26,9% u odnosu na </w:t>
      </w:r>
      <w:r w:rsidR="000012D0">
        <w:rPr>
          <w:b w:val="0"/>
          <w:bCs w:val="0"/>
          <w:sz w:val="24"/>
        </w:rPr>
        <w:t>5.494.962.018,73</w:t>
      </w:r>
      <w:r w:rsidRPr="009548E1">
        <w:rPr>
          <w:b w:val="0"/>
          <w:bCs w:val="0"/>
          <w:sz w:val="24"/>
        </w:rPr>
        <w:t xml:space="preserve"> eura primitaka ostvarenih u 2022</w:t>
      </w:r>
      <w:r w:rsidR="00380609" w:rsidRPr="009548E1">
        <w:rPr>
          <w:b w:val="0"/>
          <w:bCs w:val="0"/>
          <w:sz w:val="24"/>
        </w:rPr>
        <w:t>. godini.</w:t>
      </w:r>
      <w:r w:rsidR="004512DF" w:rsidRPr="009548E1">
        <w:rPr>
          <w:b w:val="0"/>
          <w:bCs w:val="0"/>
          <w:sz w:val="24"/>
        </w:rPr>
        <w:t xml:space="preserve"> Na povećanje ostvarenih primitaka utjecalo je povećanje primitaka od povrata zajmova danih kreditnim institucijama u javnom sektoru te primitaka od povrata depozita od tuzemnih kreditnih i ostalih financijskih institucija.</w:t>
      </w:r>
      <w:r w:rsidR="00380609" w:rsidRPr="009548E1">
        <w:rPr>
          <w:b w:val="0"/>
          <w:bCs w:val="0"/>
          <w:sz w:val="24"/>
        </w:rPr>
        <w:t xml:space="preserve"> Izdaci za financijsku imovinu i otplate zajmova ostvareni su u </w:t>
      </w:r>
      <w:r w:rsidRPr="009548E1">
        <w:rPr>
          <w:b w:val="0"/>
          <w:bCs w:val="0"/>
          <w:sz w:val="24"/>
        </w:rPr>
        <w:t xml:space="preserve">2023. godini u iznosu od </w:t>
      </w:r>
      <w:r w:rsidR="000012D0">
        <w:rPr>
          <w:b w:val="0"/>
          <w:bCs w:val="0"/>
          <w:sz w:val="24"/>
        </w:rPr>
        <w:t>4.380.472.658,98</w:t>
      </w:r>
      <w:r w:rsidRPr="009548E1">
        <w:rPr>
          <w:b w:val="0"/>
          <w:bCs w:val="0"/>
          <w:sz w:val="24"/>
        </w:rPr>
        <w:t xml:space="preserve"> eura, odnosno 29,3%</w:t>
      </w:r>
      <w:r w:rsidR="00380609" w:rsidRPr="009548E1">
        <w:rPr>
          <w:b w:val="0"/>
          <w:bCs w:val="0"/>
          <w:sz w:val="24"/>
        </w:rPr>
        <w:t xml:space="preserve"> </w:t>
      </w:r>
      <w:r w:rsidRPr="009548E1">
        <w:rPr>
          <w:b w:val="0"/>
          <w:bCs w:val="0"/>
          <w:sz w:val="24"/>
        </w:rPr>
        <w:t>manje nego u 2022</w:t>
      </w:r>
      <w:r w:rsidR="00380609" w:rsidRPr="009548E1">
        <w:rPr>
          <w:b w:val="0"/>
          <w:bCs w:val="0"/>
          <w:sz w:val="24"/>
        </w:rPr>
        <w:t>. godini ka</w:t>
      </w:r>
      <w:r w:rsidRPr="009548E1">
        <w:rPr>
          <w:b w:val="0"/>
          <w:bCs w:val="0"/>
          <w:sz w:val="24"/>
        </w:rPr>
        <w:t xml:space="preserve">da su ostvareni u iznosu od </w:t>
      </w:r>
      <w:r w:rsidR="000012D0">
        <w:rPr>
          <w:b w:val="0"/>
          <w:bCs w:val="0"/>
          <w:sz w:val="24"/>
        </w:rPr>
        <w:t>6.196.807.004,82</w:t>
      </w:r>
      <w:r w:rsidRPr="009548E1">
        <w:rPr>
          <w:b w:val="0"/>
          <w:bCs w:val="0"/>
          <w:sz w:val="24"/>
        </w:rPr>
        <w:t xml:space="preserve"> eura. U 2023. godini ostvaren je višak</w:t>
      </w:r>
      <w:r w:rsidR="00380609" w:rsidRPr="009548E1">
        <w:rPr>
          <w:b w:val="0"/>
          <w:bCs w:val="0"/>
          <w:sz w:val="24"/>
        </w:rPr>
        <w:t xml:space="preserve"> primitaka od financijske imov</w:t>
      </w:r>
      <w:r w:rsidRPr="009548E1">
        <w:rPr>
          <w:b w:val="0"/>
          <w:bCs w:val="0"/>
          <w:sz w:val="24"/>
        </w:rPr>
        <w:t xml:space="preserve">ine nad izdacima u iznosu od </w:t>
      </w:r>
      <w:r w:rsidR="000012D0">
        <w:rPr>
          <w:b w:val="0"/>
          <w:bCs w:val="0"/>
          <w:sz w:val="24"/>
        </w:rPr>
        <w:t>2.595.076.717,50</w:t>
      </w:r>
      <w:r w:rsidRPr="009548E1">
        <w:rPr>
          <w:b w:val="0"/>
          <w:bCs w:val="0"/>
          <w:sz w:val="24"/>
        </w:rPr>
        <w:t xml:space="preserve"> eura</w:t>
      </w:r>
      <w:r w:rsidR="00380609" w:rsidRPr="009548E1">
        <w:rPr>
          <w:b w:val="0"/>
          <w:bCs w:val="0"/>
          <w:sz w:val="24"/>
        </w:rPr>
        <w:t xml:space="preserve">, dok je u prethodnoj godini ostvaren </w:t>
      </w:r>
      <w:r w:rsidR="00BE6F7F" w:rsidRPr="009548E1">
        <w:rPr>
          <w:b w:val="0"/>
          <w:bCs w:val="0"/>
          <w:sz w:val="24"/>
        </w:rPr>
        <w:t>manjak</w:t>
      </w:r>
      <w:r w:rsidR="00380609" w:rsidRPr="009548E1">
        <w:rPr>
          <w:b w:val="0"/>
          <w:bCs w:val="0"/>
          <w:sz w:val="24"/>
        </w:rPr>
        <w:t xml:space="preserve"> u iznosu od </w:t>
      </w:r>
      <w:r w:rsidR="000012D0">
        <w:rPr>
          <w:b w:val="0"/>
          <w:bCs w:val="0"/>
          <w:sz w:val="24"/>
        </w:rPr>
        <w:t>701.844.986,09</w:t>
      </w:r>
      <w:r w:rsidR="00BE6F7F" w:rsidRPr="009548E1">
        <w:rPr>
          <w:b w:val="0"/>
          <w:bCs w:val="0"/>
          <w:sz w:val="24"/>
        </w:rPr>
        <w:t xml:space="preserve"> eura</w:t>
      </w:r>
      <w:r w:rsidR="00380609" w:rsidRPr="009548E1">
        <w:rPr>
          <w:b w:val="0"/>
          <w:bCs w:val="0"/>
          <w:sz w:val="24"/>
        </w:rPr>
        <w:t>.</w:t>
      </w:r>
      <w:r w:rsidR="004512DF" w:rsidRPr="009548E1">
        <w:rPr>
          <w:b w:val="0"/>
          <w:bCs w:val="0"/>
          <w:sz w:val="24"/>
        </w:rPr>
        <w:t xml:space="preserve"> Višak</w:t>
      </w:r>
      <w:r w:rsidR="00380609" w:rsidRPr="009548E1">
        <w:rPr>
          <w:b w:val="0"/>
          <w:bCs w:val="0"/>
          <w:sz w:val="24"/>
        </w:rPr>
        <w:t xml:space="preserve"> primita</w:t>
      </w:r>
      <w:r w:rsidR="004512DF" w:rsidRPr="009548E1">
        <w:rPr>
          <w:b w:val="0"/>
          <w:bCs w:val="0"/>
          <w:sz w:val="24"/>
        </w:rPr>
        <w:t>ka od financijske imovine u 2023</w:t>
      </w:r>
      <w:r w:rsidR="00380609" w:rsidRPr="009548E1">
        <w:rPr>
          <w:b w:val="0"/>
          <w:bCs w:val="0"/>
          <w:sz w:val="24"/>
        </w:rPr>
        <w:t xml:space="preserve">. godini najvećim dijelom proizlazi iz načina evidentiranja kratkoročnih depozita koji prelaze u sljedeću godinu. Naime, sukladno članku 32. stavku 4. Pravilnika o proračunskom računovodstvu i Računskom planu kratkoročni depoziti evidentiraju se zaduženjem odgovarajućeg računa skupine 12 i odobrenjem računa novčanih sredstava, a dugoročni depoziti i kratkoročni depoziti koji se vraćaju u sljedećoj godini evidentiraju se i preko odgovarajućih računa razreda 5 Izdaci za financijsku imovinu i otplate zajmova i 8 Primici od financijske imovine i zaduživanja. </w:t>
      </w:r>
      <w:r w:rsidR="00E10444" w:rsidRPr="009548E1">
        <w:rPr>
          <w:b w:val="0"/>
          <w:bCs w:val="0"/>
          <w:sz w:val="24"/>
        </w:rPr>
        <w:t>Naime, krajem prosinca 2022. godine (23. i 29. prosinca) oročeno je ukupno 1.400.000.000,00 eura ostvarenih, u najvećem iznosu, iz sredstava Europske unije, odnosno fonda Mehanizma za oporavak i otpornost u iznosu od 700.000.000,00 eura te instrumenta SURE (Europski instrument za privremenu potporu radi smanjenja rizika od nezaposlenosti u izvanrednoj situaciji) u iznosu od 548.212.500,00 eura. Sredstva su oročena do 5. siječnja 2023. godine</w:t>
      </w:r>
      <w:r w:rsidR="00E10444" w:rsidRPr="009548E1">
        <w:t xml:space="preserve"> </w:t>
      </w:r>
      <w:r w:rsidR="00E10444" w:rsidRPr="009548E1">
        <w:rPr>
          <w:b w:val="0"/>
          <w:bCs w:val="0"/>
          <w:sz w:val="24"/>
        </w:rPr>
        <w:t>kada je evidentiran primitak od povrata depozita u kreditnim i ostalim institucijama.</w:t>
      </w:r>
    </w:p>
    <w:p w14:paraId="0FCFF2F0" w14:textId="5B06F0CB" w:rsidR="00E10444" w:rsidRPr="009548E1" w:rsidRDefault="00E10444" w:rsidP="00E10444">
      <w:pPr>
        <w:pStyle w:val="Naslov"/>
        <w:jc w:val="both"/>
        <w:rPr>
          <w:b w:val="0"/>
          <w:bCs w:val="0"/>
          <w:sz w:val="24"/>
        </w:rPr>
      </w:pPr>
      <w:r w:rsidRPr="009548E1">
        <w:rPr>
          <w:b w:val="0"/>
          <w:bCs w:val="0"/>
          <w:sz w:val="24"/>
        </w:rPr>
        <w:t xml:space="preserve">Preneseni višak primitaka od financijske imovine u 2023. je iznosio </w:t>
      </w:r>
      <w:r w:rsidR="000012D0">
        <w:rPr>
          <w:b w:val="0"/>
          <w:bCs w:val="0"/>
          <w:sz w:val="24"/>
        </w:rPr>
        <w:t>21.228.331.951,66</w:t>
      </w:r>
      <w:r w:rsidRPr="009548E1">
        <w:rPr>
          <w:b w:val="0"/>
          <w:bCs w:val="0"/>
          <w:sz w:val="24"/>
        </w:rPr>
        <w:t xml:space="preserve"> eura, slijedom čega višak primitaka od financijske imovine koji se prenosi u slijedeću godinu iznosi </w:t>
      </w:r>
      <w:r w:rsidR="00070C00" w:rsidRPr="00070C00">
        <w:rPr>
          <w:b w:val="0"/>
          <w:bCs w:val="0"/>
          <w:sz w:val="24"/>
        </w:rPr>
        <w:t>23.823.408.669,16</w:t>
      </w:r>
      <w:r w:rsidR="00070C00">
        <w:rPr>
          <w:b w:val="0"/>
          <w:bCs w:val="0"/>
          <w:sz w:val="24"/>
        </w:rPr>
        <w:t xml:space="preserve"> </w:t>
      </w:r>
      <w:r w:rsidRPr="009548E1">
        <w:rPr>
          <w:b w:val="0"/>
          <w:bCs w:val="0"/>
          <w:sz w:val="24"/>
        </w:rPr>
        <w:t>eura.</w:t>
      </w:r>
    </w:p>
    <w:p w14:paraId="60B36D31" w14:textId="43758913" w:rsidR="00380609" w:rsidRPr="009548E1" w:rsidRDefault="00380609" w:rsidP="00380609"/>
    <w:p w14:paraId="5E70D01C" w14:textId="521B3374" w:rsidR="00380609" w:rsidRPr="009548E1" w:rsidRDefault="00380609" w:rsidP="00380609">
      <w:pPr>
        <w:pStyle w:val="Naslov"/>
        <w:keepNext/>
        <w:jc w:val="both"/>
        <w:rPr>
          <w:b w:val="0"/>
          <w:bCs w:val="0"/>
          <w:color w:val="FF0000"/>
          <w:sz w:val="24"/>
        </w:rPr>
      </w:pPr>
      <w:r w:rsidRPr="009548E1">
        <w:rPr>
          <w:b w:val="0"/>
          <w:bCs w:val="0"/>
          <w:sz w:val="24"/>
        </w:rPr>
        <w:t>Ukupni rezultat Državnog pro</w:t>
      </w:r>
      <w:r w:rsidR="00E10444" w:rsidRPr="009548E1">
        <w:rPr>
          <w:b w:val="0"/>
          <w:bCs w:val="0"/>
          <w:sz w:val="24"/>
        </w:rPr>
        <w:t>računa za 2023</w:t>
      </w:r>
      <w:r w:rsidRPr="009548E1">
        <w:rPr>
          <w:b w:val="0"/>
          <w:bCs w:val="0"/>
          <w:sz w:val="24"/>
        </w:rPr>
        <w:t xml:space="preserve">. godinu je </w:t>
      </w:r>
      <w:r w:rsidR="00E10444" w:rsidRPr="009548E1">
        <w:rPr>
          <w:b w:val="0"/>
          <w:bCs w:val="0"/>
          <w:sz w:val="24"/>
        </w:rPr>
        <w:t>višak</w:t>
      </w:r>
      <w:r w:rsidRPr="009548E1">
        <w:rPr>
          <w:b w:val="0"/>
          <w:bCs w:val="0"/>
          <w:sz w:val="24"/>
        </w:rPr>
        <w:t xml:space="preserve"> prihoda i primitaka u iznosu od </w:t>
      </w:r>
      <w:r w:rsidR="00070C00">
        <w:rPr>
          <w:b w:val="0"/>
          <w:bCs w:val="0"/>
          <w:sz w:val="24"/>
        </w:rPr>
        <w:t>1.367.319.650,57</w:t>
      </w:r>
      <w:r w:rsidR="00E10444" w:rsidRPr="009548E1">
        <w:rPr>
          <w:b w:val="0"/>
          <w:bCs w:val="0"/>
          <w:sz w:val="24"/>
        </w:rPr>
        <w:t xml:space="preserve"> eura, a s obzirom na to da je iz 2022. u 2023</w:t>
      </w:r>
      <w:r w:rsidRPr="009548E1">
        <w:rPr>
          <w:b w:val="0"/>
          <w:bCs w:val="0"/>
          <w:sz w:val="24"/>
        </w:rPr>
        <w:t xml:space="preserve">. prenesen višak prihoda i primitaka u iznosu od </w:t>
      </w:r>
      <w:r w:rsidR="00070C00">
        <w:rPr>
          <w:b w:val="0"/>
          <w:bCs w:val="0"/>
          <w:sz w:val="24"/>
        </w:rPr>
        <w:t>244.828.712,13</w:t>
      </w:r>
      <w:r w:rsidR="00E10444" w:rsidRPr="009548E1">
        <w:rPr>
          <w:b w:val="0"/>
          <w:bCs w:val="0"/>
          <w:sz w:val="24"/>
        </w:rPr>
        <w:t xml:space="preserve"> eura, u</w:t>
      </w:r>
      <w:r w:rsidRPr="009548E1">
        <w:rPr>
          <w:b w:val="0"/>
          <w:bCs w:val="0"/>
          <w:sz w:val="24"/>
        </w:rPr>
        <w:t xml:space="preserve">kupni višak prihoda i primitaka raspoloživ u sljedećem razdoblju iznosi </w:t>
      </w:r>
      <w:r w:rsidR="00E10444" w:rsidRPr="009548E1">
        <w:rPr>
          <w:b w:val="0"/>
          <w:bCs w:val="0"/>
          <w:sz w:val="24"/>
        </w:rPr>
        <w:t>1</w:t>
      </w:r>
      <w:r w:rsidR="00070C00">
        <w:rPr>
          <w:b w:val="0"/>
          <w:bCs w:val="0"/>
          <w:sz w:val="24"/>
        </w:rPr>
        <w:t xml:space="preserve">.612.148.362,70 </w:t>
      </w:r>
      <w:r w:rsidR="00E10444" w:rsidRPr="009548E1">
        <w:rPr>
          <w:b w:val="0"/>
          <w:bCs w:val="0"/>
          <w:sz w:val="24"/>
        </w:rPr>
        <w:t>eura</w:t>
      </w:r>
      <w:r w:rsidRPr="009548E1">
        <w:rPr>
          <w:b w:val="0"/>
          <w:bCs w:val="0"/>
          <w:sz w:val="24"/>
        </w:rPr>
        <w:t>.</w:t>
      </w:r>
    </w:p>
    <w:p w14:paraId="28EC9DD0" w14:textId="77777777" w:rsidR="002E2D56" w:rsidRPr="009548E1" w:rsidRDefault="002E2D56" w:rsidP="00DC46C1">
      <w:pPr>
        <w:pStyle w:val="Tijeloteksta"/>
      </w:pPr>
    </w:p>
    <w:p w14:paraId="186EEDA9" w14:textId="77777777" w:rsidR="002E2D56" w:rsidRPr="009548E1" w:rsidRDefault="002E2D56" w:rsidP="00DC46C1">
      <w:pPr>
        <w:pStyle w:val="Tijeloteksta"/>
      </w:pPr>
    </w:p>
    <w:p w14:paraId="72A02F9A" w14:textId="58BEA93E" w:rsidR="002E2D56" w:rsidRPr="009548E1" w:rsidRDefault="002E2D56" w:rsidP="002E2D56">
      <w:pPr>
        <w:pStyle w:val="Naslov"/>
        <w:keepNext/>
        <w:rPr>
          <w:b w:val="0"/>
          <w:bCs w:val="0"/>
        </w:rPr>
      </w:pPr>
      <w:r w:rsidRPr="009548E1">
        <w:rPr>
          <w:b w:val="0"/>
          <w:bCs w:val="0"/>
        </w:rPr>
        <w:t xml:space="preserve">Bilješka </w:t>
      </w:r>
      <w:r w:rsidR="002D2B2F">
        <w:rPr>
          <w:b w:val="0"/>
          <w:bCs w:val="0"/>
        </w:rPr>
        <w:t>3</w:t>
      </w:r>
      <w:r w:rsidRPr="009548E1">
        <w:rPr>
          <w:b w:val="0"/>
          <w:bCs w:val="0"/>
        </w:rPr>
        <w:t>.</w:t>
      </w:r>
    </w:p>
    <w:p w14:paraId="064F2487" w14:textId="70ECB4ED" w:rsidR="002E2D56" w:rsidRPr="009548E1" w:rsidRDefault="002E2D56" w:rsidP="002E2D56">
      <w:pPr>
        <w:pStyle w:val="Naslov"/>
        <w:keepNext/>
        <w:rPr>
          <w:b w:val="0"/>
          <w:bCs w:val="0"/>
        </w:rPr>
      </w:pPr>
      <w:r w:rsidRPr="009548E1">
        <w:rPr>
          <w:b w:val="0"/>
          <w:bCs w:val="0"/>
        </w:rPr>
        <w:t>Šifra 61</w:t>
      </w:r>
      <w:r w:rsidR="00FD609C" w:rsidRPr="009548E1">
        <w:rPr>
          <w:b w:val="0"/>
          <w:bCs w:val="0"/>
        </w:rPr>
        <w:t xml:space="preserve"> Prihodi od poreza</w:t>
      </w:r>
    </w:p>
    <w:p w14:paraId="669D5D40" w14:textId="30F26B7D" w:rsidR="00FD609C" w:rsidRPr="009548E1" w:rsidRDefault="00FD609C" w:rsidP="002E2D56">
      <w:pPr>
        <w:jc w:val="both"/>
      </w:pPr>
      <w:r w:rsidRPr="009548E1">
        <w:t xml:space="preserve">Prihodi od poreza u 2023. godini ostvareni su u iznosu od </w:t>
      </w:r>
      <w:r w:rsidR="003E1D7A" w:rsidRPr="009548E1">
        <w:t>15.379.909.940,69</w:t>
      </w:r>
      <w:r w:rsidRPr="009548E1">
        <w:t xml:space="preserve"> eura, odnosno za 19,3% više u odnosu na prihode od poreza ostvarene u 2022. godini. Na rast prihoda od poreza u promatranom razdoblju</w:t>
      </w:r>
      <w:r w:rsidR="003E1D7A" w:rsidRPr="009548E1">
        <w:t xml:space="preserve"> najvećim je dijelom utjecalo</w:t>
      </w:r>
      <w:r w:rsidRPr="009548E1">
        <w:t xml:space="preserve"> povećanje prihoda od poreza na dobit poduzetnika koji je ostvaren za 52,1% odnosno 800 milijuna eura više u odnosu na ostvarenje u 2022. godini.</w:t>
      </w:r>
    </w:p>
    <w:p w14:paraId="25391301" w14:textId="1D9F5D92" w:rsidR="002E2D56" w:rsidRPr="009548E1" w:rsidRDefault="002E2D56" w:rsidP="002E2D56">
      <w:pPr>
        <w:jc w:val="both"/>
      </w:pPr>
      <w:r w:rsidRPr="009548E1">
        <w:t>Porez i prirez na dohodak od kapitala te ostali porezi i prirezi na dohodak prihodi su jedinica lokalne i područne (regionalne) samouprave</w:t>
      </w:r>
      <w:r w:rsidR="003E1D7A" w:rsidRPr="009548E1">
        <w:t>,</w:t>
      </w:r>
      <w:r w:rsidRPr="009548E1">
        <w:t xml:space="preserve"> stoga se ne iskazuju u financijskom izvještaju državnog proračuna. </w:t>
      </w:r>
    </w:p>
    <w:p w14:paraId="199ADD8A" w14:textId="77777777" w:rsidR="002E2D56" w:rsidRPr="009548E1" w:rsidRDefault="002E2D56" w:rsidP="00DC46C1">
      <w:pPr>
        <w:pStyle w:val="Tijeloteksta"/>
      </w:pPr>
    </w:p>
    <w:p w14:paraId="6531B83E" w14:textId="256FA5FD" w:rsidR="00380609" w:rsidRPr="009548E1" w:rsidRDefault="00380609" w:rsidP="00380609">
      <w:pPr>
        <w:pStyle w:val="Naslov"/>
        <w:keepNext/>
        <w:rPr>
          <w:b w:val="0"/>
          <w:bCs w:val="0"/>
        </w:rPr>
      </w:pPr>
      <w:r w:rsidRPr="009548E1">
        <w:rPr>
          <w:b w:val="0"/>
          <w:bCs w:val="0"/>
        </w:rPr>
        <w:t xml:space="preserve">Bilješka </w:t>
      </w:r>
      <w:r w:rsidR="002D2B2F">
        <w:rPr>
          <w:b w:val="0"/>
          <w:bCs w:val="0"/>
        </w:rPr>
        <w:t>4</w:t>
      </w:r>
      <w:r w:rsidRPr="009548E1">
        <w:rPr>
          <w:b w:val="0"/>
          <w:bCs w:val="0"/>
        </w:rPr>
        <w:t>.</w:t>
      </w:r>
    </w:p>
    <w:p w14:paraId="3F761CCF" w14:textId="77777777" w:rsidR="00380609" w:rsidRPr="009548E1" w:rsidRDefault="00380609" w:rsidP="00380609">
      <w:pPr>
        <w:pStyle w:val="Naslov"/>
        <w:keepNext/>
        <w:rPr>
          <w:b w:val="0"/>
          <w:bCs w:val="0"/>
        </w:rPr>
      </w:pPr>
      <w:r w:rsidRPr="009548E1">
        <w:rPr>
          <w:b w:val="0"/>
          <w:bCs w:val="0"/>
        </w:rPr>
        <w:t>Šifra 6121 do 6125 Porez na dobit</w:t>
      </w:r>
    </w:p>
    <w:p w14:paraId="77C4C365" w14:textId="77777777" w:rsidR="001268DF" w:rsidRDefault="00C57EE2" w:rsidP="00380609">
      <w:pPr>
        <w:tabs>
          <w:tab w:val="decimal" w:pos="7380"/>
        </w:tabs>
        <w:jc w:val="both"/>
      </w:pPr>
      <w:r w:rsidRPr="00C57EE2">
        <w:t xml:space="preserve">Prihodi od poreza na dobit ostvareni su u 2023. godini u iznosu od 2.351.288.917,58 eura što je povećanje za 51,4% u odnosu na ostvarenih 1.533.635.044,29 eura u 2022. godini. Povećanje prihoda rezultat je vrlo dobrog poslovanja poduzeća u 2022., budući se porez na dobit u tekućoj godini plaća se na temelju poslovanja poduzetnika prethodne godine. Također, zajedno s </w:t>
      </w:r>
      <w:r w:rsidRPr="00C57EE2">
        <w:lastRenderedPageBreak/>
        <w:t xml:space="preserve">godišnjim obračunom poreza na dobit uplaćen je i jednokratni dodatni porez na dobit u iznosu od </w:t>
      </w:r>
      <w:r w:rsidR="00E04D8E" w:rsidRPr="00C57EE2">
        <w:t>250.327.039,56</w:t>
      </w:r>
      <w:r w:rsidR="00E04D8E">
        <w:t xml:space="preserve"> </w:t>
      </w:r>
      <w:r w:rsidR="001268DF">
        <w:t>eura.</w:t>
      </w:r>
    </w:p>
    <w:p w14:paraId="28807AD4" w14:textId="10CBDC07" w:rsidR="00C57EE2" w:rsidRPr="009548E1" w:rsidRDefault="001268DF" w:rsidP="00380609">
      <w:pPr>
        <w:tabs>
          <w:tab w:val="decimal" w:pos="7380"/>
        </w:tabs>
        <w:jc w:val="both"/>
      </w:pPr>
      <w:bookmarkStart w:id="2" w:name="_GoBack"/>
      <w:bookmarkEnd w:id="2"/>
      <w:r>
        <w:t>Dodatni porez na dobit</w:t>
      </w:r>
      <w:r w:rsidR="00E04D8E">
        <w:t xml:space="preserve"> </w:t>
      </w:r>
      <w:r w:rsidR="00C57EE2" w:rsidRPr="00C57EE2">
        <w:t>uplatili</w:t>
      </w:r>
      <w:r w:rsidR="00E04D8E">
        <w:t xml:space="preserve"> su</w:t>
      </w:r>
      <w:r w:rsidR="00C57EE2" w:rsidRPr="00C57EE2">
        <w:t xml:space="preserve"> oni poduzetnici koji su ostvarili prihode veće od 39,8 milijuna eura u 2022. godini, a kojima se utvrdila oporeziva dobit u iznosu većem za 20% u odnosu na prosjek oporezive dobiti iz čet</w:t>
      </w:r>
      <w:r w:rsidR="00C57EE2">
        <w:t>iri prethodna porezna razdoblja.</w:t>
      </w:r>
    </w:p>
    <w:p w14:paraId="6444758C" w14:textId="77777777" w:rsidR="00032C1E" w:rsidRPr="009548E1" w:rsidRDefault="00032C1E"/>
    <w:p w14:paraId="315E7937" w14:textId="473F950E" w:rsidR="00380609" w:rsidRPr="009548E1" w:rsidRDefault="00380609" w:rsidP="00380609">
      <w:pPr>
        <w:pStyle w:val="Naslov"/>
        <w:keepNext/>
        <w:rPr>
          <w:b w:val="0"/>
          <w:bCs w:val="0"/>
        </w:rPr>
      </w:pPr>
      <w:r w:rsidRPr="009548E1">
        <w:rPr>
          <w:b w:val="0"/>
          <w:bCs w:val="0"/>
        </w:rPr>
        <w:t xml:space="preserve">Bilješka </w:t>
      </w:r>
      <w:r w:rsidR="002D2B2F">
        <w:rPr>
          <w:b w:val="0"/>
          <w:bCs w:val="0"/>
        </w:rPr>
        <w:t>5</w:t>
      </w:r>
      <w:r w:rsidRPr="009548E1">
        <w:rPr>
          <w:b w:val="0"/>
          <w:bCs w:val="0"/>
        </w:rPr>
        <w:t>.</w:t>
      </w:r>
    </w:p>
    <w:p w14:paraId="105D0867" w14:textId="77777777" w:rsidR="00380609" w:rsidRPr="009548E1" w:rsidRDefault="00380609" w:rsidP="00380609">
      <w:pPr>
        <w:pStyle w:val="Naslov"/>
        <w:keepNext/>
        <w:rPr>
          <w:b w:val="0"/>
          <w:bCs w:val="0"/>
        </w:rPr>
      </w:pPr>
      <w:r w:rsidRPr="009548E1">
        <w:rPr>
          <w:b w:val="0"/>
          <w:bCs w:val="0"/>
        </w:rPr>
        <w:t>Šifra 6141 do 6148 Porezi na robu i usluge</w:t>
      </w:r>
    </w:p>
    <w:p w14:paraId="5C180D97" w14:textId="520C394B" w:rsidR="00380609" w:rsidRPr="009548E1" w:rsidRDefault="00380609" w:rsidP="00380609">
      <w:pPr>
        <w:jc w:val="both"/>
        <w:rPr>
          <w:bCs/>
        </w:rPr>
      </w:pPr>
      <w:r w:rsidRPr="009548E1">
        <w:rPr>
          <w:bCs/>
        </w:rPr>
        <w:t>Prihodi od poreza na robu i usluge u 2023. godini ostvareni su u iznosu od 12</w:t>
      </w:r>
      <w:r w:rsidR="00CC18AF">
        <w:rPr>
          <w:bCs/>
        </w:rPr>
        <w:t>.949.302.252,17</w:t>
      </w:r>
      <w:r w:rsidRPr="009548E1">
        <w:rPr>
          <w:bCs/>
        </w:rPr>
        <w:t xml:space="preserve"> eura te su za 15% veći u odnosu na ostvarenje u prethodnom razdoblju. Porezi na robu i usluge </w:t>
      </w:r>
      <w:r w:rsidR="002F0328" w:rsidRPr="009548E1">
        <w:rPr>
          <w:bCs/>
        </w:rPr>
        <w:t>obuhvaćaju</w:t>
      </w:r>
      <w:r w:rsidRPr="009548E1">
        <w:rPr>
          <w:bCs/>
        </w:rPr>
        <w:t xml:space="preserve"> porez na dodanu vrijednost, porez na promet, posebne poreze i trošarine, poreza na korištenje dobara, ostale poreze na robu i usluge, poreze na dobitke od igara na sreću i naknade za priređivanje igara na sreću.  </w:t>
      </w:r>
    </w:p>
    <w:p w14:paraId="21CE4036" w14:textId="77777777" w:rsidR="00380609" w:rsidRPr="009548E1" w:rsidRDefault="00380609" w:rsidP="00380609">
      <w:pPr>
        <w:jc w:val="both"/>
        <w:rPr>
          <w:bCs/>
        </w:rPr>
      </w:pPr>
    </w:p>
    <w:p w14:paraId="18A2A160" w14:textId="030A936A" w:rsidR="00380609" w:rsidRPr="009548E1" w:rsidRDefault="00380609" w:rsidP="00380609">
      <w:pPr>
        <w:jc w:val="both"/>
        <w:rPr>
          <w:bCs/>
        </w:rPr>
      </w:pPr>
      <w:r w:rsidRPr="009548E1">
        <w:rPr>
          <w:bCs/>
        </w:rPr>
        <w:t>Prikupljeni prihodi od po</w:t>
      </w:r>
      <w:r w:rsidR="002F0328" w:rsidRPr="009548E1">
        <w:rPr>
          <w:bCs/>
        </w:rPr>
        <w:t>reza na dodanu vrijednost u 2023</w:t>
      </w:r>
      <w:r w:rsidRPr="009548E1">
        <w:rPr>
          <w:bCs/>
        </w:rPr>
        <w:t>. godini su veći za 16</w:t>
      </w:r>
      <w:r w:rsidR="002F0328" w:rsidRPr="009548E1">
        <w:rPr>
          <w:bCs/>
        </w:rPr>
        <w:t>,9</w:t>
      </w:r>
      <w:r w:rsidRPr="009548E1">
        <w:rPr>
          <w:bCs/>
        </w:rPr>
        <w:t xml:space="preserve">% u </w:t>
      </w:r>
      <w:r w:rsidR="002F0328" w:rsidRPr="009548E1">
        <w:rPr>
          <w:bCs/>
        </w:rPr>
        <w:t>odnosu na ostvarene prihode u 2022</w:t>
      </w:r>
      <w:r w:rsidRPr="009548E1">
        <w:rPr>
          <w:bCs/>
        </w:rPr>
        <w:t xml:space="preserve">., a rezultat </w:t>
      </w:r>
      <w:r w:rsidR="002F0328" w:rsidRPr="009548E1">
        <w:rPr>
          <w:bCs/>
        </w:rPr>
        <w:t>su rasta osobne i turističke potrošnje, prethodno spomenutih poreznih rasterećenja te kretanja cijena. Naime, promet u trgovini na malo povećan je u nominalnim iznosima 12,5% u 2023. godini, a turistička sezona bila je vrlo dobra.</w:t>
      </w:r>
    </w:p>
    <w:p w14:paraId="47C5EC6D" w14:textId="77777777" w:rsidR="002F0328" w:rsidRPr="009548E1" w:rsidRDefault="002F0328" w:rsidP="00380609">
      <w:pPr>
        <w:jc w:val="both"/>
        <w:rPr>
          <w:bCs/>
        </w:rPr>
      </w:pPr>
    </w:p>
    <w:p w14:paraId="32159FF1" w14:textId="46ED7481" w:rsidR="00380609" w:rsidRPr="009548E1" w:rsidRDefault="00380609" w:rsidP="00380609">
      <w:pPr>
        <w:jc w:val="both"/>
        <w:rPr>
          <w:bCs/>
        </w:rPr>
      </w:pPr>
      <w:r w:rsidRPr="009548E1">
        <w:rPr>
          <w:bCs/>
        </w:rPr>
        <w:t>Prikupljeni prihodi od trošari</w:t>
      </w:r>
      <w:r w:rsidR="002F0328" w:rsidRPr="009548E1">
        <w:rPr>
          <w:bCs/>
        </w:rPr>
        <w:t>na i posebnih poreza u 2023. su ostvareni za 6,7</w:t>
      </w:r>
      <w:r w:rsidRPr="009548E1">
        <w:rPr>
          <w:bCs/>
        </w:rPr>
        <w:t xml:space="preserve">% </w:t>
      </w:r>
      <w:r w:rsidR="002F0328" w:rsidRPr="009548E1">
        <w:rPr>
          <w:bCs/>
        </w:rPr>
        <w:t>više u odnosu na ostvarenje 2022</w:t>
      </w:r>
      <w:r w:rsidRPr="009548E1">
        <w:rPr>
          <w:bCs/>
        </w:rPr>
        <w:t xml:space="preserve">. godine </w:t>
      </w:r>
      <w:r w:rsidR="002F0328" w:rsidRPr="009548E1">
        <w:rPr>
          <w:bCs/>
        </w:rPr>
        <w:t>pod utjecajem rasta gospodarske aktivnosti, koji je rezultirao povećanjem intenziteta prometa i potrošnje trošarinskih proizvoda. Sukladno tome, dobar dio trošarinskih prihoda u 2023. godini zabilježio je međugodišnji rast. Međugodišnje smanjenje zabilježili su prihodi od trošarina na duhanske proizvode, bezalkoholna pića i pivo. Najveći međugodišnji rast zabilježili su prihodi od posebnog poreza na osobne automobile, ostala motorna vozila, plovila i zrakoplove.</w:t>
      </w:r>
    </w:p>
    <w:p w14:paraId="02A5AB25" w14:textId="77777777" w:rsidR="00380609" w:rsidRPr="009548E1" w:rsidRDefault="00380609" w:rsidP="00380609">
      <w:pPr>
        <w:jc w:val="both"/>
        <w:rPr>
          <w:b/>
          <w:bCs/>
        </w:rPr>
      </w:pPr>
    </w:p>
    <w:p w14:paraId="28A36A52" w14:textId="6D461220" w:rsidR="00380609" w:rsidRPr="009548E1" w:rsidRDefault="00380609" w:rsidP="00380609">
      <w:pPr>
        <w:pStyle w:val="Naslov"/>
        <w:keepNext/>
        <w:rPr>
          <w:b w:val="0"/>
          <w:bCs w:val="0"/>
        </w:rPr>
      </w:pPr>
      <w:r w:rsidRPr="009548E1">
        <w:rPr>
          <w:b w:val="0"/>
          <w:bCs w:val="0"/>
        </w:rPr>
        <w:t xml:space="preserve">Bilješka </w:t>
      </w:r>
      <w:r w:rsidR="002D2B2F">
        <w:rPr>
          <w:b w:val="0"/>
          <w:bCs w:val="0"/>
        </w:rPr>
        <w:t>6</w:t>
      </w:r>
      <w:r w:rsidRPr="009548E1">
        <w:rPr>
          <w:b w:val="0"/>
          <w:bCs w:val="0"/>
        </w:rPr>
        <w:t>.</w:t>
      </w:r>
    </w:p>
    <w:p w14:paraId="20328CA5" w14:textId="77777777" w:rsidR="00380609" w:rsidRPr="009548E1" w:rsidRDefault="00380609" w:rsidP="00380609">
      <w:pPr>
        <w:pStyle w:val="Naslov"/>
        <w:keepNext/>
        <w:rPr>
          <w:b w:val="0"/>
          <w:bCs w:val="0"/>
        </w:rPr>
      </w:pPr>
      <w:r w:rsidRPr="009548E1">
        <w:rPr>
          <w:b w:val="0"/>
          <w:bCs w:val="0"/>
        </w:rPr>
        <w:t>Šifra 62 Doprinosi</w:t>
      </w:r>
    </w:p>
    <w:p w14:paraId="4E4A554B" w14:textId="1AFF7265" w:rsidR="00380609" w:rsidRPr="009548E1" w:rsidRDefault="00380609" w:rsidP="00380609">
      <w:pPr>
        <w:spacing w:after="120"/>
        <w:jc w:val="both"/>
      </w:pPr>
      <w:r w:rsidRPr="009548E1">
        <w:t>Uplate koje su evidentirane na prihodima od doprinosa za zapošljavanje odnose se na uplate s osnova dugovanja po osnovi doprinosa za zapošljavanje, budući da je isti ukinut od 1. siječnja 2019. godine. Prihodi od doprinosa u 2023. go</w:t>
      </w:r>
      <w:r w:rsidR="00CC18AF">
        <w:t>dini ostvareni su u iznosu od 1.220.911,03</w:t>
      </w:r>
      <w:r w:rsidRPr="009548E1">
        <w:t xml:space="preserve"> eura te bilježe međugodišnje smanjenje u odnosu na 2022. godinu kada su ostvareni u iznosu od </w:t>
      </w:r>
      <w:r w:rsidR="006645C6" w:rsidRPr="009548E1">
        <w:t>1</w:t>
      </w:r>
      <w:r w:rsidR="00CC18AF">
        <w:t>.671.240,98</w:t>
      </w:r>
      <w:r w:rsidR="006645C6" w:rsidRPr="009548E1">
        <w:t xml:space="preserve"> eura</w:t>
      </w:r>
      <w:r w:rsidRPr="009548E1">
        <w:t xml:space="preserve">. </w:t>
      </w:r>
    </w:p>
    <w:p w14:paraId="14B6FB0C" w14:textId="34323FE0" w:rsidR="00380609" w:rsidRPr="009548E1" w:rsidRDefault="00617B19" w:rsidP="00380609">
      <w:pPr>
        <w:pStyle w:val="Naslov"/>
        <w:keepNext/>
        <w:rPr>
          <w:b w:val="0"/>
          <w:bCs w:val="0"/>
        </w:rPr>
      </w:pPr>
      <w:r w:rsidRPr="009548E1">
        <w:rPr>
          <w:b w:val="0"/>
          <w:bCs w:val="0"/>
        </w:rPr>
        <w:t xml:space="preserve">Bilješka </w:t>
      </w:r>
      <w:r w:rsidR="002D2B2F">
        <w:rPr>
          <w:b w:val="0"/>
          <w:bCs w:val="0"/>
        </w:rPr>
        <w:t>7</w:t>
      </w:r>
      <w:r w:rsidR="00380609" w:rsidRPr="009548E1">
        <w:rPr>
          <w:b w:val="0"/>
          <w:bCs w:val="0"/>
        </w:rPr>
        <w:t>.</w:t>
      </w:r>
    </w:p>
    <w:p w14:paraId="4AC9C098" w14:textId="77777777" w:rsidR="00380609" w:rsidRPr="009548E1" w:rsidRDefault="00380609" w:rsidP="00617B19">
      <w:pPr>
        <w:pStyle w:val="Naslov"/>
        <w:keepNext/>
        <w:rPr>
          <w:b w:val="0"/>
          <w:bCs w:val="0"/>
          <w:color w:val="FF0000"/>
        </w:rPr>
      </w:pPr>
      <w:r w:rsidRPr="009548E1">
        <w:rPr>
          <w:b w:val="0"/>
          <w:bCs w:val="0"/>
        </w:rPr>
        <w:t>Šifra 6323 Tekuće pomoći od institucija i tijela EU, Šifra 6324 Kapitalne pomoći od institucija i tijela EU</w:t>
      </w:r>
    </w:p>
    <w:p w14:paraId="38EE5AC4" w14:textId="77777777" w:rsidR="00380609" w:rsidRPr="009548E1" w:rsidRDefault="00380609" w:rsidP="00380609">
      <w:pPr>
        <w:jc w:val="both"/>
      </w:pPr>
      <w:r w:rsidRPr="009548E1">
        <w:t>U financijskom izvještaju državnog proračuna na šifri 6323 Tekuće pomoći od institucija i tijela EU i 6324 Kapitalne pomoći od institucija i tijela EU iskazani su samo prihodi od refundacije iz pomoći EU kod EU projekata koji se prvotno financiraju iz nacionalnih sredstava, a nakon odobravanja isplaćenih troškova projekta sredstva se refundiraju u visini priznatih troškova (Izvor financiranja 55</w:t>
      </w:r>
      <w:r w:rsidR="006645C6" w:rsidRPr="009548E1">
        <w:t xml:space="preserve"> </w:t>
      </w:r>
      <w:r w:rsidR="006645C6" w:rsidRPr="009548E1">
        <w:rPr>
          <w:i/>
        </w:rPr>
        <w:t>Refundacije iz pomoći EU</w:t>
      </w:r>
      <w:r w:rsidRPr="009548E1">
        <w:t xml:space="preserve">). Navedeno se odnosi na izravna plaćanja poljoprivrednim proizvođačima (Europskog poljoprivrednog jamstvenog fonda), projekte koje provodi Državni zavod za statistiku u statističkim programima Europske komisije, neke projekte prekogranične suradnje i drugo. Obzirom na to da sredstva koja se naknadno refundiraju na račun državnog proračuna korisnik ne može više koristiti evidentiraju se kao prihod državnog proračuna, a ne kao prihod proračunskog korisnika. Proračunski korisnici prihode na šiframa ovih prihoda evidentiraju za projekte koje provode iz europskih strukturnih </w:t>
      </w:r>
      <w:r w:rsidRPr="009548E1">
        <w:lastRenderedPageBreak/>
        <w:t>i investicijskih fondova namijenjenim sufinanciranju provedbi strateških ciljeva i prioriteta definiranih operativnim programima za određeno proračunsko razdoblje.</w:t>
      </w:r>
    </w:p>
    <w:p w14:paraId="2B1CD8FC" w14:textId="77777777" w:rsidR="00380609" w:rsidRPr="009548E1" w:rsidRDefault="00380609" w:rsidP="00380609">
      <w:pPr>
        <w:tabs>
          <w:tab w:val="decimal" w:pos="7380"/>
        </w:tabs>
        <w:jc w:val="both"/>
      </w:pPr>
    </w:p>
    <w:p w14:paraId="0CBD15D7" w14:textId="5204DD14" w:rsidR="00380609" w:rsidRPr="009548E1" w:rsidRDefault="00380609" w:rsidP="00380609">
      <w:pPr>
        <w:tabs>
          <w:tab w:val="decimal" w:pos="7380"/>
        </w:tabs>
        <w:jc w:val="both"/>
        <w:rPr>
          <w:color w:val="FF0000"/>
        </w:rPr>
      </w:pPr>
      <w:r w:rsidRPr="009548E1">
        <w:t xml:space="preserve">Prihodi od tekućih pomoći od institucija </w:t>
      </w:r>
      <w:r w:rsidR="006645C6" w:rsidRPr="009548E1">
        <w:t>i tijela EU u 2023</w:t>
      </w:r>
      <w:r w:rsidRPr="009548E1">
        <w:t xml:space="preserve">. su ostvareni u iznosu od </w:t>
      </w:r>
      <w:r w:rsidR="002F0328" w:rsidRPr="009548E1">
        <w:t>459</w:t>
      </w:r>
      <w:r w:rsidR="00CC18AF">
        <w:t>.673.820,60</w:t>
      </w:r>
      <w:r w:rsidR="006645C6" w:rsidRPr="009548E1">
        <w:t xml:space="preserve"> eura</w:t>
      </w:r>
      <w:r w:rsidRPr="009548E1">
        <w:t xml:space="preserve"> što je povećanje</w:t>
      </w:r>
      <w:r w:rsidR="002F0328" w:rsidRPr="009548E1">
        <w:t xml:space="preserve"> za 5,6%</w:t>
      </w:r>
      <w:r w:rsidRPr="009548E1">
        <w:t xml:space="preserve"> u odnosu na </w:t>
      </w:r>
      <w:r w:rsidR="006645C6" w:rsidRPr="009548E1">
        <w:t>435</w:t>
      </w:r>
      <w:r w:rsidR="00CC18AF">
        <w:t>.317.747,84</w:t>
      </w:r>
      <w:r w:rsidR="006645C6" w:rsidRPr="009548E1">
        <w:t xml:space="preserve"> eura</w:t>
      </w:r>
      <w:r w:rsidRPr="009548E1">
        <w:t xml:space="preserve"> ostvarenih u 202</w:t>
      </w:r>
      <w:r w:rsidR="006645C6" w:rsidRPr="009548E1">
        <w:t>2</w:t>
      </w:r>
      <w:r w:rsidRPr="009548E1">
        <w:t xml:space="preserve">. godini. Od ukupnog iznosa tekućih pomoći od EU evidentiranog u okviru navedenog prihoda </w:t>
      </w:r>
      <w:r w:rsidR="00CC18AF" w:rsidRPr="00CC18AF">
        <w:t>403.265.957,51</w:t>
      </w:r>
      <w:r w:rsidR="00CC18AF">
        <w:t xml:space="preserve"> </w:t>
      </w:r>
      <w:r w:rsidR="00617B19" w:rsidRPr="009548E1">
        <w:t xml:space="preserve">eura </w:t>
      </w:r>
      <w:r w:rsidRPr="009548E1">
        <w:t>se odnosi na refundacije Europskog poljoprivrednog jamstvenog fonda (EPJF).</w:t>
      </w:r>
    </w:p>
    <w:p w14:paraId="48CDFDF3" w14:textId="2BD5985D" w:rsidR="002F0328" w:rsidRPr="009548E1" w:rsidRDefault="002F0328" w:rsidP="002F0328">
      <w:pPr>
        <w:tabs>
          <w:tab w:val="decimal" w:pos="7380"/>
        </w:tabs>
        <w:jc w:val="both"/>
      </w:pPr>
    </w:p>
    <w:p w14:paraId="21943117" w14:textId="05383604" w:rsidR="002F0328" w:rsidRPr="009548E1" w:rsidRDefault="002F0328" w:rsidP="002F0328">
      <w:pPr>
        <w:tabs>
          <w:tab w:val="decimal" w:pos="7380"/>
        </w:tabs>
        <w:jc w:val="both"/>
      </w:pPr>
      <w:r w:rsidRPr="009548E1">
        <w:t xml:space="preserve">Prihodi od kapitalnih pomoći od institucija i tijela EU u </w:t>
      </w:r>
      <w:r w:rsidR="00800A3B" w:rsidRPr="009548E1">
        <w:t>2023. godini</w:t>
      </w:r>
      <w:r w:rsidRPr="009548E1">
        <w:t xml:space="preserve"> su ostvareni u iznosu od </w:t>
      </w:r>
      <w:r w:rsidR="00CC18AF">
        <w:t>4.307.639,07</w:t>
      </w:r>
      <w:r w:rsidRPr="009548E1">
        <w:t xml:space="preserve"> eura, što je </w:t>
      </w:r>
      <w:r w:rsidR="00800A3B" w:rsidRPr="009548E1">
        <w:t>9,8% više</w:t>
      </w:r>
      <w:r w:rsidRPr="009548E1">
        <w:t xml:space="preserve"> u odnosu na 3</w:t>
      </w:r>
      <w:r w:rsidR="00CC18AF">
        <w:t>.921.772,73</w:t>
      </w:r>
      <w:r w:rsidRPr="009548E1">
        <w:t xml:space="preserve"> eura ostvarenih </w:t>
      </w:r>
      <w:r w:rsidR="00800A3B" w:rsidRPr="009548E1">
        <w:t>u 2022. godini</w:t>
      </w:r>
      <w:r w:rsidRPr="009548E1">
        <w:t xml:space="preserve">. </w:t>
      </w:r>
      <w:r w:rsidR="00EB2BC5" w:rsidRPr="009548E1">
        <w:t>Najznačajniji prihod odnosi se na d</w:t>
      </w:r>
      <w:r w:rsidR="002C41C2" w:rsidRPr="009548E1">
        <w:t>ana</w:t>
      </w:r>
      <w:r w:rsidRPr="009548E1">
        <w:t xml:space="preserve"> </w:t>
      </w:r>
      <w:r w:rsidR="002C41C2" w:rsidRPr="009548E1">
        <w:t>16. veljače 2023.</w:t>
      </w:r>
      <w:r w:rsidRPr="009548E1">
        <w:t xml:space="preserve"> u državni proračun Republike Hrvatske od strane Europske komisije, Europske izvršne agencije za klimu, infrastrukturu i okoliš (CINEA – European </w:t>
      </w:r>
      <w:proofErr w:type="spellStart"/>
      <w:r w:rsidRPr="009548E1">
        <w:t>Climate</w:t>
      </w:r>
      <w:proofErr w:type="spellEnd"/>
      <w:r w:rsidRPr="009548E1">
        <w:t xml:space="preserve">, </w:t>
      </w:r>
      <w:proofErr w:type="spellStart"/>
      <w:r w:rsidRPr="009548E1">
        <w:t>Infrastructure</w:t>
      </w:r>
      <w:proofErr w:type="spellEnd"/>
      <w:r w:rsidRPr="009548E1">
        <w:t xml:space="preserve"> </w:t>
      </w:r>
      <w:proofErr w:type="spellStart"/>
      <w:r w:rsidRPr="009548E1">
        <w:t>and</w:t>
      </w:r>
      <w:proofErr w:type="spellEnd"/>
      <w:r w:rsidRPr="009548E1">
        <w:t xml:space="preserve"> </w:t>
      </w:r>
      <w:proofErr w:type="spellStart"/>
      <w:r w:rsidRPr="009548E1">
        <w:t>Environment</w:t>
      </w:r>
      <w:proofErr w:type="spellEnd"/>
      <w:r w:rsidRPr="009548E1">
        <w:t xml:space="preserve"> </w:t>
      </w:r>
      <w:proofErr w:type="spellStart"/>
      <w:r w:rsidRPr="009548E1">
        <w:t>Executive</w:t>
      </w:r>
      <w:proofErr w:type="spellEnd"/>
      <w:r w:rsidRPr="009548E1">
        <w:t xml:space="preserve"> </w:t>
      </w:r>
      <w:proofErr w:type="spellStart"/>
      <w:r w:rsidRPr="009548E1">
        <w:t>Agency</w:t>
      </w:r>
      <w:proofErr w:type="spellEnd"/>
      <w:r w:rsidRPr="009548E1">
        <w:t xml:space="preserve">) </w:t>
      </w:r>
      <w:r w:rsidR="00EB2BC5" w:rsidRPr="009548E1">
        <w:t>uplaćenih</w:t>
      </w:r>
      <w:r w:rsidRPr="009548E1">
        <w:t xml:space="preserve"> </w:t>
      </w:r>
      <w:r w:rsidR="002C41C2" w:rsidRPr="009548E1">
        <w:t xml:space="preserve">1.938.804,36 </w:t>
      </w:r>
      <w:r w:rsidRPr="009548E1">
        <w:t xml:space="preserve">eura temeljem Sporazuma o dodjeli bespovratnih sredstava INEA/CEF/TRAN/M2020/2450353 u sklopu Instrumenta za povezivanje Europe – Sektor promet (CEF – </w:t>
      </w:r>
      <w:proofErr w:type="spellStart"/>
      <w:r w:rsidRPr="009548E1">
        <w:t>Connecting</w:t>
      </w:r>
      <w:proofErr w:type="spellEnd"/>
      <w:r w:rsidRPr="009548E1">
        <w:t xml:space="preserve"> Europe </w:t>
      </w:r>
      <w:proofErr w:type="spellStart"/>
      <w:r w:rsidRPr="009548E1">
        <w:t>Facili</w:t>
      </w:r>
      <w:r w:rsidR="002C41C2" w:rsidRPr="009548E1">
        <w:t>ty</w:t>
      </w:r>
      <w:proofErr w:type="spellEnd"/>
      <w:r w:rsidR="002C41C2" w:rsidRPr="009548E1">
        <w:t>)</w:t>
      </w:r>
      <w:r w:rsidR="00EB2BC5" w:rsidRPr="009548E1">
        <w:t>.</w:t>
      </w:r>
    </w:p>
    <w:p w14:paraId="26F6DFC1" w14:textId="77777777" w:rsidR="00380609" w:rsidRPr="009548E1" w:rsidRDefault="00380609"/>
    <w:p w14:paraId="67F2A5BC" w14:textId="77777777" w:rsidR="00617B19" w:rsidRPr="009548E1" w:rsidRDefault="00617B19"/>
    <w:p w14:paraId="62CD0718" w14:textId="06C93DBC" w:rsidR="00617B19" w:rsidRPr="009548E1" w:rsidRDefault="00617B19" w:rsidP="00617B19">
      <w:pPr>
        <w:pStyle w:val="Naslov"/>
        <w:keepNext/>
        <w:rPr>
          <w:b w:val="0"/>
          <w:bCs w:val="0"/>
        </w:rPr>
      </w:pPr>
      <w:r w:rsidRPr="009548E1">
        <w:rPr>
          <w:b w:val="0"/>
          <w:bCs w:val="0"/>
        </w:rPr>
        <w:t xml:space="preserve">Bilješka </w:t>
      </w:r>
      <w:r w:rsidR="002D2B2F">
        <w:rPr>
          <w:b w:val="0"/>
          <w:bCs w:val="0"/>
        </w:rPr>
        <w:t>8</w:t>
      </w:r>
      <w:r w:rsidRPr="009548E1">
        <w:rPr>
          <w:b w:val="0"/>
          <w:bCs w:val="0"/>
        </w:rPr>
        <w:t xml:space="preserve">. </w:t>
      </w:r>
    </w:p>
    <w:p w14:paraId="6E960FD6" w14:textId="77777777" w:rsidR="00617B19" w:rsidRPr="009548E1" w:rsidRDefault="00617B19" w:rsidP="00617B19">
      <w:pPr>
        <w:pStyle w:val="Naslov"/>
        <w:keepNext/>
        <w:rPr>
          <w:b w:val="0"/>
          <w:bCs w:val="0"/>
        </w:rPr>
      </w:pPr>
      <w:r w:rsidRPr="009548E1">
        <w:rPr>
          <w:b w:val="0"/>
          <w:bCs w:val="0"/>
        </w:rPr>
        <w:t>Šifra 6413 Kamate na oročena sredstva i depozite po viđenju</w:t>
      </w:r>
    </w:p>
    <w:p w14:paraId="4671BEDA" w14:textId="43D50D46" w:rsidR="00956CE7" w:rsidRPr="009548E1" w:rsidRDefault="00617B19" w:rsidP="00617B19">
      <w:pPr>
        <w:spacing w:after="200"/>
        <w:jc w:val="both"/>
        <w:rPr>
          <w:color w:val="000000"/>
        </w:rPr>
      </w:pPr>
      <w:r w:rsidRPr="009548E1">
        <w:rPr>
          <w:color w:val="000000"/>
        </w:rPr>
        <w:t xml:space="preserve">Prihodi od kamata na oročena sredstva i depozite po viđenju ostvareni su u iznosu od </w:t>
      </w:r>
      <w:r w:rsidR="00CC18AF">
        <w:rPr>
          <w:color w:val="000000"/>
        </w:rPr>
        <w:t xml:space="preserve">91.267.596,31 </w:t>
      </w:r>
      <w:r w:rsidR="00956CE7" w:rsidRPr="009548E1">
        <w:rPr>
          <w:color w:val="000000"/>
        </w:rPr>
        <w:t>eura</w:t>
      </w:r>
      <w:r w:rsidRPr="009548E1">
        <w:rPr>
          <w:color w:val="000000"/>
        </w:rPr>
        <w:t xml:space="preserve">, </w:t>
      </w:r>
      <w:r w:rsidR="00956CE7" w:rsidRPr="009548E1">
        <w:rPr>
          <w:color w:val="000000"/>
        </w:rPr>
        <w:t xml:space="preserve">dok su u istom razdoblju u 2022. godini ostvareni u iznosu od </w:t>
      </w:r>
      <w:r w:rsidR="00CC18AF">
        <w:rPr>
          <w:color w:val="000000"/>
        </w:rPr>
        <w:t>8.894.948,07</w:t>
      </w:r>
      <w:r w:rsidR="00956CE7" w:rsidRPr="009548E1">
        <w:rPr>
          <w:color w:val="000000"/>
        </w:rPr>
        <w:t xml:space="preserve"> eura što predstavlja povećanje od 1.448,2% u promatranom razdoblju</w:t>
      </w:r>
      <w:r w:rsidRPr="009548E1">
        <w:rPr>
          <w:color w:val="000000"/>
        </w:rPr>
        <w:t xml:space="preserve">. </w:t>
      </w:r>
      <w:r w:rsidR="00956CE7" w:rsidRPr="009548E1">
        <w:rPr>
          <w:color w:val="000000"/>
        </w:rPr>
        <w:t>Najveći udio u ovim prihodima čini prihod od kamata na depozite po viđenju (90,7 milijuna eura). Europska središnja banka podigla je ključne kamatne stope u rujnu 2022. godine, a u 2023. godini njihov je rast nastavljen. Ostvareni prihod od kamata na depozite po viđenju u 2023. godini rezultat je primjene rastućih kamatnih stopa obračunatih na sredstva državnog proračuna na jedinstvenom računu državnog proračuna kod Hrvatske narodne banke, a sukladno Odluci o kamatnim stopama na novčana sredstva subjekata javnog sektora kod Hrvatske narodne banke.</w:t>
      </w:r>
    </w:p>
    <w:p w14:paraId="7999229F" w14:textId="7152021A" w:rsidR="00617B19" w:rsidRPr="009548E1" w:rsidRDefault="00617B19" w:rsidP="00617B19">
      <w:pPr>
        <w:pStyle w:val="Naslov"/>
        <w:keepNext/>
        <w:rPr>
          <w:b w:val="0"/>
          <w:bCs w:val="0"/>
        </w:rPr>
      </w:pPr>
      <w:r w:rsidRPr="009548E1">
        <w:rPr>
          <w:b w:val="0"/>
          <w:bCs w:val="0"/>
        </w:rPr>
        <w:t xml:space="preserve">Bilješka </w:t>
      </w:r>
      <w:r w:rsidR="002D2B2F">
        <w:rPr>
          <w:b w:val="0"/>
          <w:bCs w:val="0"/>
        </w:rPr>
        <w:t>9</w:t>
      </w:r>
      <w:r w:rsidRPr="009548E1">
        <w:rPr>
          <w:b w:val="0"/>
          <w:bCs w:val="0"/>
        </w:rPr>
        <w:t xml:space="preserve">. </w:t>
      </w:r>
    </w:p>
    <w:p w14:paraId="02D2189D" w14:textId="64373CC1" w:rsidR="00617B19" w:rsidRPr="009548E1" w:rsidRDefault="00617B19" w:rsidP="00617B19">
      <w:pPr>
        <w:pStyle w:val="Naslov"/>
        <w:keepNext/>
        <w:rPr>
          <w:b w:val="0"/>
          <w:bCs w:val="0"/>
        </w:rPr>
      </w:pPr>
      <w:r w:rsidRPr="009548E1">
        <w:rPr>
          <w:b w:val="0"/>
          <w:bCs w:val="0"/>
        </w:rPr>
        <w:t>Šifra 6414 Prihodi od zateznih kamata</w:t>
      </w:r>
    </w:p>
    <w:p w14:paraId="6E50D08F" w14:textId="3111AE66" w:rsidR="00956CE7" w:rsidRPr="009548E1" w:rsidRDefault="00956CE7" w:rsidP="00956CE7">
      <w:pPr>
        <w:pStyle w:val="Naslov"/>
        <w:keepNext/>
        <w:jc w:val="both"/>
        <w:rPr>
          <w:b w:val="0"/>
          <w:bCs w:val="0"/>
          <w:sz w:val="24"/>
        </w:rPr>
      </w:pPr>
      <w:r w:rsidRPr="009548E1">
        <w:rPr>
          <w:b w:val="0"/>
          <w:bCs w:val="0"/>
          <w:sz w:val="24"/>
        </w:rPr>
        <w:t>Prihodi od zateznih kamata u 2023. godini ostvareni su u iznosu od 33</w:t>
      </w:r>
      <w:r w:rsidR="00BB6CFB">
        <w:rPr>
          <w:b w:val="0"/>
          <w:bCs w:val="0"/>
          <w:sz w:val="24"/>
        </w:rPr>
        <w:t>.903.526,82</w:t>
      </w:r>
      <w:r w:rsidRPr="009548E1">
        <w:rPr>
          <w:b w:val="0"/>
          <w:bCs w:val="0"/>
          <w:sz w:val="24"/>
        </w:rPr>
        <w:t xml:space="preserve"> eura, dok su u 2022. godini ostvareni u iznosu od 19</w:t>
      </w:r>
      <w:r w:rsidR="00BB6CFB">
        <w:rPr>
          <w:b w:val="0"/>
          <w:bCs w:val="0"/>
          <w:sz w:val="24"/>
        </w:rPr>
        <w:t xml:space="preserve">.432.166,06 </w:t>
      </w:r>
      <w:r w:rsidRPr="009548E1">
        <w:rPr>
          <w:b w:val="0"/>
          <w:bCs w:val="0"/>
          <w:sz w:val="24"/>
        </w:rPr>
        <w:t>eura što predstavlja povećanje od 74,5% u promatranom razdoblju.</w:t>
      </w:r>
      <w:r w:rsidR="008D639C" w:rsidRPr="009548E1">
        <w:rPr>
          <w:b w:val="0"/>
          <w:sz w:val="24"/>
        </w:rPr>
        <w:t xml:space="preserve"> V</w:t>
      </w:r>
      <w:r w:rsidR="008D639C" w:rsidRPr="009548E1">
        <w:rPr>
          <w:b w:val="0"/>
          <w:bCs w:val="0"/>
          <w:sz w:val="24"/>
        </w:rPr>
        <w:t>eći iznos naplaćene kamate odnosi se na zadužene te naplaćene kamate temeljem sudske odluke za poreznog obveznika HRT te za poreznog obveznika IR REAL ESTATE LEASING d.o.o. kojem je u postupku nadzora utvrđene i naplaćene kamate.</w:t>
      </w:r>
    </w:p>
    <w:p w14:paraId="3EC2AA22" w14:textId="0B1D86C7" w:rsidR="008D639C" w:rsidRPr="009548E1" w:rsidRDefault="008D639C" w:rsidP="00956CE7">
      <w:pPr>
        <w:pStyle w:val="Naslov"/>
        <w:keepNext/>
        <w:jc w:val="both"/>
        <w:rPr>
          <w:b w:val="0"/>
          <w:bCs w:val="0"/>
          <w:sz w:val="24"/>
        </w:rPr>
      </w:pPr>
      <w:r w:rsidRPr="009548E1">
        <w:rPr>
          <w:b w:val="0"/>
          <w:bCs w:val="0"/>
          <w:sz w:val="24"/>
        </w:rPr>
        <w:t>Dodatno, veći iznos naplaćenih prihoda na ime zateznih kamata u promatrano</w:t>
      </w:r>
      <w:r w:rsidR="00164FFA" w:rsidRPr="009548E1">
        <w:rPr>
          <w:b w:val="0"/>
          <w:bCs w:val="0"/>
          <w:sz w:val="24"/>
        </w:rPr>
        <w:t>m razdoblju proizlazi iz odredbe</w:t>
      </w:r>
      <w:r w:rsidRPr="009548E1">
        <w:rPr>
          <w:b w:val="0"/>
          <w:bCs w:val="0"/>
          <w:sz w:val="24"/>
        </w:rPr>
        <w:t xml:space="preserve"> Općeg poreznog zakona </w:t>
      </w:r>
      <w:r w:rsidR="00164FFA" w:rsidRPr="009548E1">
        <w:rPr>
          <w:b w:val="0"/>
          <w:bCs w:val="0"/>
          <w:sz w:val="24"/>
        </w:rPr>
        <w:t xml:space="preserve">(Narodne novine, broj 115/16, 106/18, 121/19, 32/20, 42/20 i 114/22) </w:t>
      </w:r>
      <w:r w:rsidRPr="009548E1">
        <w:rPr>
          <w:b w:val="0"/>
          <w:bCs w:val="0"/>
          <w:sz w:val="24"/>
        </w:rPr>
        <w:t>prema kojemu se u slučaju kada porezni obveznik duguje poreze, kamate i troškove ovrhe, iz uplaćenog iznosa najprije na</w:t>
      </w:r>
      <w:r w:rsidR="00164FFA" w:rsidRPr="009548E1">
        <w:rPr>
          <w:b w:val="0"/>
          <w:bCs w:val="0"/>
          <w:sz w:val="24"/>
        </w:rPr>
        <w:t>plaćuju kamate i troškovi ovrhe, a nakon toga glavni porezni dug.</w:t>
      </w:r>
    </w:p>
    <w:p w14:paraId="3622AFC6" w14:textId="6BBE1BD7" w:rsidR="00956CE7" w:rsidRPr="009548E1" w:rsidRDefault="00956CE7" w:rsidP="00617B19">
      <w:pPr>
        <w:pStyle w:val="Naslov"/>
        <w:keepNext/>
        <w:rPr>
          <w:b w:val="0"/>
          <w:bCs w:val="0"/>
        </w:rPr>
      </w:pPr>
    </w:p>
    <w:p w14:paraId="12B4DBB7" w14:textId="72F6CE23" w:rsidR="00617B19" w:rsidRPr="009548E1" w:rsidRDefault="00617B19" w:rsidP="00617B19">
      <w:pPr>
        <w:pStyle w:val="Naslov"/>
        <w:keepNext/>
        <w:rPr>
          <w:b w:val="0"/>
          <w:bCs w:val="0"/>
        </w:rPr>
      </w:pPr>
      <w:r w:rsidRPr="009548E1">
        <w:rPr>
          <w:b w:val="0"/>
          <w:bCs w:val="0"/>
        </w:rPr>
        <w:t xml:space="preserve">Bilješka </w:t>
      </w:r>
      <w:r w:rsidR="002D2B2F">
        <w:rPr>
          <w:b w:val="0"/>
          <w:bCs w:val="0"/>
        </w:rPr>
        <w:t>10</w:t>
      </w:r>
      <w:r w:rsidRPr="009548E1">
        <w:rPr>
          <w:b w:val="0"/>
          <w:bCs w:val="0"/>
        </w:rPr>
        <w:t xml:space="preserve">. </w:t>
      </w:r>
    </w:p>
    <w:p w14:paraId="3F5DBA6C" w14:textId="77777777" w:rsidR="00617B19" w:rsidRPr="009548E1" w:rsidRDefault="00617B19" w:rsidP="00617B19">
      <w:pPr>
        <w:pStyle w:val="Naslov"/>
        <w:keepNext/>
        <w:rPr>
          <w:b w:val="0"/>
          <w:bCs w:val="0"/>
        </w:rPr>
      </w:pPr>
      <w:r w:rsidRPr="009548E1">
        <w:rPr>
          <w:b w:val="0"/>
          <w:bCs w:val="0"/>
        </w:rPr>
        <w:t xml:space="preserve">Šifra 6415 Prihodi od pozitivnih tečajnih razlika i razlika zbog primjene valutne klauzule </w:t>
      </w:r>
    </w:p>
    <w:p w14:paraId="09C58AE4" w14:textId="09C8171E" w:rsidR="00617B19" w:rsidRPr="009548E1" w:rsidRDefault="00617B19" w:rsidP="00617B19">
      <w:pPr>
        <w:jc w:val="both"/>
        <w:rPr>
          <w:color w:val="000000"/>
        </w:rPr>
      </w:pPr>
      <w:r w:rsidRPr="009548E1">
        <w:rPr>
          <w:color w:val="000000"/>
        </w:rPr>
        <w:t>Prihodi od pozitivnih tečajnih razlika i razlika zbog primjene valutne klauz</w:t>
      </w:r>
      <w:r w:rsidR="00164FFA" w:rsidRPr="009548E1">
        <w:rPr>
          <w:color w:val="000000"/>
        </w:rPr>
        <w:t>ule u 2023</w:t>
      </w:r>
      <w:r w:rsidRPr="009548E1">
        <w:rPr>
          <w:color w:val="000000"/>
        </w:rPr>
        <w:t xml:space="preserve">. </w:t>
      </w:r>
      <w:r w:rsidR="00164FFA" w:rsidRPr="009548E1">
        <w:rPr>
          <w:color w:val="000000"/>
        </w:rPr>
        <w:t xml:space="preserve">godini ostvareni su u iznosu od 2.795,94 eura, dok su u istom razdoblju 2022. godine ostvareni u iznosu </w:t>
      </w:r>
      <w:r w:rsidR="00164FFA" w:rsidRPr="009548E1">
        <w:rPr>
          <w:color w:val="000000"/>
        </w:rPr>
        <w:lastRenderedPageBreak/>
        <w:t>od 10.727.190,64 eura što predstavlja smanjenje od 99,98% u promatranom razdoblju. Naime,</w:t>
      </w:r>
      <w:r w:rsidRPr="009548E1">
        <w:rPr>
          <w:color w:val="000000"/>
        </w:rPr>
        <w:t xml:space="preserve"> u obračunskom razdoblju 1. siječnja 2022. do 31. prosinca 2022. </w:t>
      </w:r>
      <w:r w:rsidR="00164FFA" w:rsidRPr="009548E1">
        <w:rPr>
          <w:color w:val="000000"/>
        </w:rPr>
        <w:t xml:space="preserve">na ime prihoda s predmetne osnove </w:t>
      </w:r>
      <w:r w:rsidRPr="009548E1">
        <w:rPr>
          <w:color w:val="000000"/>
        </w:rPr>
        <w:t xml:space="preserve">najviše je utjecala pozitivna tečajna razlika ostvarena u svibnju 2022. godine u nominalnom iznosu od </w:t>
      </w:r>
      <w:r w:rsidR="00BB6CFB">
        <w:rPr>
          <w:color w:val="000000"/>
        </w:rPr>
        <w:t>10.216.338,18 eura</w:t>
      </w:r>
      <w:r w:rsidRPr="009548E1">
        <w:rPr>
          <w:color w:val="000000"/>
        </w:rPr>
        <w:t xml:space="preserve"> prilikom otplate glavnice </w:t>
      </w:r>
      <w:proofErr w:type="spellStart"/>
      <w:r w:rsidRPr="009548E1">
        <w:rPr>
          <w:color w:val="000000"/>
        </w:rPr>
        <w:t>euroobveznica</w:t>
      </w:r>
      <w:proofErr w:type="spellEnd"/>
      <w:r w:rsidRPr="009548E1">
        <w:rPr>
          <w:color w:val="000000"/>
        </w:rPr>
        <w:t>, a  radi deprecijacije valute eura u odnosnu na kunu. Na povećanje prihoda od valutne klauzule najviše je utjecao prihod ostvaren u listopadu 2022. godine u nominalnom iznosu od 586.692,00</w:t>
      </w:r>
      <w:r w:rsidR="00EB2BC5" w:rsidRPr="009548E1">
        <w:t xml:space="preserve"> </w:t>
      </w:r>
      <w:r w:rsidRPr="009548E1">
        <w:rPr>
          <w:color w:val="000000"/>
        </w:rPr>
        <w:t>kuna</w:t>
      </w:r>
      <w:r w:rsidR="00C801CD">
        <w:rPr>
          <w:color w:val="000000"/>
        </w:rPr>
        <w:t xml:space="preserve"> </w:t>
      </w:r>
      <w:r w:rsidR="00C801CD" w:rsidRPr="009548E1">
        <w:t>(</w:t>
      </w:r>
      <w:r w:rsidR="00C801CD" w:rsidRPr="009548E1">
        <w:rPr>
          <w:color w:val="000000"/>
        </w:rPr>
        <w:t xml:space="preserve">77.867,41 eura) </w:t>
      </w:r>
      <w:r w:rsidRPr="009548E1">
        <w:rPr>
          <w:color w:val="000000"/>
        </w:rPr>
        <w:t xml:space="preserve"> prilikom otplate glavnice kredita u Erste banci vezanog uz valutu euro. Na navedeno je također utjecala deprecijacija valute eura u odnosu na kunu.</w:t>
      </w:r>
    </w:p>
    <w:p w14:paraId="7A6E1581" w14:textId="77777777" w:rsidR="00617B19" w:rsidRPr="009548E1" w:rsidRDefault="00617B19" w:rsidP="00617B19">
      <w:pPr>
        <w:pStyle w:val="Naslov"/>
        <w:keepNext/>
        <w:rPr>
          <w:b w:val="0"/>
          <w:bCs w:val="0"/>
        </w:rPr>
      </w:pPr>
    </w:p>
    <w:p w14:paraId="6C3BFD68" w14:textId="51F38C57" w:rsidR="00617B19" w:rsidRPr="009548E1" w:rsidRDefault="00617B19" w:rsidP="00617B19">
      <w:pPr>
        <w:pStyle w:val="Naslov"/>
        <w:keepNext/>
        <w:rPr>
          <w:b w:val="0"/>
          <w:bCs w:val="0"/>
        </w:rPr>
      </w:pPr>
      <w:r w:rsidRPr="009548E1">
        <w:rPr>
          <w:b w:val="0"/>
          <w:bCs w:val="0"/>
        </w:rPr>
        <w:t xml:space="preserve">Bilješka </w:t>
      </w:r>
      <w:r w:rsidR="002D2B2F">
        <w:rPr>
          <w:b w:val="0"/>
          <w:bCs w:val="0"/>
        </w:rPr>
        <w:t>11</w:t>
      </w:r>
      <w:r w:rsidRPr="009548E1">
        <w:rPr>
          <w:b w:val="0"/>
          <w:bCs w:val="0"/>
        </w:rPr>
        <w:t>.</w:t>
      </w:r>
    </w:p>
    <w:p w14:paraId="54756F3F" w14:textId="77777777" w:rsidR="00617B19" w:rsidRPr="009548E1" w:rsidRDefault="00617B19" w:rsidP="00617B19">
      <w:pPr>
        <w:pStyle w:val="Naslov"/>
        <w:keepNext/>
        <w:rPr>
          <w:b w:val="0"/>
          <w:bCs w:val="0"/>
        </w:rPr>
      </w:pPr>
      <w:r w:rsidRPr="009548E1">
        <w:rPr>
          <w:b w:val="0"/>
          <w:bCs w:val="0"/>
        </w:rPr>
        <w:t>Šifra 6416 Prihodi od dividendi</w:t>
      </w:r>
    </w:p>
    <w:p w14:paraId="0A5244C5" w14:textId="74C475A8" w:rsidR="00BA2A36" w:rsidRPr="009548E1" w:rsidRDefault="00BA2A36" w:rsidP="00617B19">
      <w:pPr>
        <w:spacing w:after="200"/>
        <w:jc w:val="both"/>
        <w:rPr>
          <w:color w:val="000000"/>
        </w:rPr>
      </w:pPr>
      <w:r w:rsidRPr="009548E1">
        <w:rPr>
          <w:color w:val="000000"/>
        </w:rPr>
        <w:t>Prihodi od dividendi u 2023. godini ostvareni su u iznosu od 10</w:t>
      </w:r>
      <w:r w:rsidR="00C801CD">
        <w:rPr>
          <w:color w:val="000000"/>
        </w:rPr>
        <w:t xml:space="preserve">3.976.251,93 </w:t>
      </w:r>
      <w:r w:rsidRPr="009548E1">
        <w:rPr>
          <w:color w:val="000000"/>
        </w:rPr>
        <w:t xml:space="preserve">eura i veći su u odnosu na 2022. godinu za 50,1% kada su ostvareni u iznosu od </w:t>
      </w:r>
      <w:r w:rsidR="00C801CD">
        <w:rPr>
          <w:color w:val="000000"/>
        </w:rPr>
        <w:t xml:space="preserve">69.270.027,30 </w:t>
      </w:r>
      <w:r w:rsidRPr="009548E1">
        <w:rPr>
          <w:color w:val="000000"/>
        </w:rPr>
        <w:t>eura. Najveći iznos ostvarenih prihoda u 2023. godini u visini od 89,7 milijuna eura odnosi se na uplatu dividende društva INA-industrije nafte d.d., Zagreb, dok se iznos od 6,1 milijun eura odnosi na uplatu dividende od društva Janaf d.d., Zagreb. U okviru prihoda  ostvarenih u izvještajnom razdoblju evidentirani su i prihodi od dividendi na dionice u trgovačkim društvima u kojima je Republika Hrvatska i/ili Hrvatski zavod za mirovinsko osiguranje imatelj ili ovlaštenik, a kojima upravlja Centar za restrukturiranje i prodaju u svojstvu zakonskog zastupnika. U okviru ovih prihoda najveći iznosi odnose se na uplatu dividende od društva Hrvatski Telekom d.d., Zagreb u iznosu od 2,5 milijuna eura te društva Podravka d.d., Koprivnica u iznosu od 3,7 milijuna eura.</w:t>
      </w:r>
    </w:p>
    <w:p w14:paraId="7B0E35D4" w14:textId="68D192C2" w:rsidR="00617B19" w:rsidRPr="009548E1" w:rsidRDefault="00617B19" w:rsidP="00617B19">
      <w:pPr>
        <w:pStyle w:val="Naslov"/>
        <w:keepNext/>
        <w:rPr>
          <w:b w:val="0"/>
          <w:bCs w:val="0"/>
        </w:rPr>
      </w:pPr>
      <w:r w:rsidRPr="009548E1">
        <w:rPr>
          <w:b w:val="0"/>
          <w:bCs w:val="0"/>
        </w:rPr>
        <w:t xml:space="preserve">Bilješka </w:t>
      </w:r>
      <w:r w:rsidR="002D2B2F">
        <w:rPr>
          <w:b w:val="0"/>
          <w:bCs w:val="0"/>
        </w:rPr>
        <w:t>12</w:t>
      </w:r>
      <w:r w:rsidRPr="009548E1">
        <w:rPr>
          <w:b w:val="0"/>
          <w:bCs w:val="0"/>
        </w:rPr>
        <w:t>.</w:t>
      </w:r>
    </w:p>
    <w:p w14:paraId="6B340325" w14:textId="77777777" w:rsidR="00617B19" w:rsidRPr="009548E1" w:rsidRDefault="00617B19" w:rsidP="00617B19">
      <w:pPr>
        <w:spacing w:after="200"/>
        <w:jc w:val="center"/>
        <w:rPr>
          <w:sz w:val="28"/>
        </w:rPr>
      </w:pPr>
      <w:r w:rsidRPr="009548E1">
        <w:rPr>
          <w:sz w:val="28"/>
        </w:rPr>
        <w:t>Šifra 6417 Prihodi iz dobiti trgovačkih društava, kreditnih i ostalih financijskih institucija po posebnim propisima</w:t>
      </w:r>
    </w:p>
    <w:p w14:paraId="011B26F5" w14:textId="3F3862AC" w:rsidR="00BA2A36" w:rsidRPr="009548E1" w:rsidRDefault="00BA2A36" w:rsidP="00BA2A36">
      <w:pPr>
        <w:spacing w:after="200"/>
        <w:jc w:val="both"/>
        <w:rPr>
          <w:color w:val="000000"/>
        </w:rPr>
      </w:pPr>
      <w:r w:rsidRPr="009548E1">
        <w:rPr>
          <w:color w:val="000000"/>
        </w:rPr>
        <w:t>Prihodi iz dobiti trgovačkih društava, kreditnih i ostalih financijskih institucija po posebnim propisima u 2023. godini ostvareni su u iznosu od 9</w:t>
      </w:r>
      <w:r w:rsidR="00C801CD">
        <w:rPr>
          <w:color w:val="000000"/>
        </w:rPr>
        <w:t xml:space="preserve">6.550.807,27 </w:t>
      </w:r>
      <w:r w:rsidRPr="009548E1">
        <w:rPr>
          <w:color w:val="000000"/>
        </w:rPr>
        <w:t>eura i veći su za 139% u odnosu na 40</w:t>
      </w:r>
      <w:r w:rsidR="00C801CD">
        <w:rPr>
          <w:color w:val="000000"/>
        </w:rPr>
        <w:t>.391.507,52</w:t>
      </w:r>
      <w:r w:rsidRPr="009548E1">
        <w:rPr>
          <w:color w:val="000000"/>
        </w:rPr>
        <w:t xml:space="preserve"> eura ostvarenih u 2022. godini. U okviru istih najznačajniji iznosi odnose se na uplatu dobiti Hrvatske narodne banke u iznosu od 51,2 milijuna eura, Agencije za komercijalnu djelatnost d.o.o., Zagreb u iznosu od 7,1 milijuna eura, Hrvatskih šuma d.o.o., Zagreb u iznosu od 6,4 milijuna eura, HŽ Infrastrukture d.o.o., Zagreb u iznosu od 4,8 milijuna eura te Državnih nekretnina d.o.o., Zagreb u iznosu od 3,0 milijuna eura.</w:t>
      </w:r>
    </w:p>
    <w:p w14:paraId="7CCB9123" w14:textId="2AC498A5" w:rsidR="00617B19" w:rsidRPr="009548E1" w:rsidRDefault="00617B19" w:rsidP="00BA2A36">
      <w:pPr>
        <w:jc w:val="center"/>
        <w:rPr>
          <w:sz w:val="28"/>
        </w:rPr>
      </w:pPr>
      <w:r w:rsidRPr="009548E1">
        <w:rPr>
          <w:sz w:val="28"/>
        </w:rPr>
        <w:t xml:space="preserve">Bilješka </w:t>
      </w:r>
      <w:r w:rsidR="002D2B2F">
        <w:rPr>
          <w:sz w:val="28"/>
        </w:rPr>
        <w:t>13</w:t>
      </w:r>
      <w:r w:rsidRPr="009548E1">
        <w:rPr>
          <w:sz w:val="28"/>
        </w:rPr>
        <w:t>.</w:t>
      </w:r>
    </w:p>
    <w:p w14:paraId="288BF609" w14:textId="77777777" w:rsidR="00617B19" w:rsidRPr="009548E1" w:rsidRDefault="00617B19" w:rsidP="00617B19">
      <w:pPr>
        <w:pStyle w:val="Naslov"/>
        <w:keepNext/>
        <w:rPr>
          <w:b w:val="0"/>
          <w:bCs w:val="0"/>
        </w:rPr>
      </w:pPr>
      <w:r w:rsidRPr="009548E1">
        <w:rPr>
          <w:b w:val="0"/>
          <w:bCs w:val="0"/>
        </w:rPr>
        <w:t>Šifra 6419 Ostali prihodi od financijske imovine</w:t>
      </w:r>
    </w:p>
    <w:p w14:paraId="60CB2BC4" w14:textId="3A6C4AA0" w:rsidR="0062260A" w:rsidRPr="009548E1" w:rsidRDefault="0062260A" w:rsidP="0062260A">
      <w:pPr>
        <w:pStyle w:val="Naslov"/>
        <w:keepNext/>
        <w:jc w:val="both"/>
        <w:rPr>
          <w:b w:val="0"/>
          <w:bCs w:val="0"/>
          <w:sz w:val="24"/>
        </w:rPr>
      </w:pPr>
      <w:r w:rsidRPr="009548E1">
        <w:rPr>
          <w:b w:val="0"/>
          <w:bCs w:val="0"/>
          <w:sz w:val="24"/>
        </w:rPr>
        <w:t>Ostali prihodi od financijske imovine u 2023. godini ostvareni su u iznosu od 22</w:t>
      </w:r>
      <w:r w:rsidR="00C801CD">
        <w:rPr>
          <w:b w:val="0"/>
          <w:bCs w:val="0"/>
          <w:sz w:val="24"/>
        </w:rPr>
        <w:t>.831.602,73</w:t>
      </w:r>
      <w:r w:rsidRPr="009548E1">
        <w:rPr>
          <w:b w:val="0"/>
          <w:bCs w:val="0"/>
          <w:sz w:val="24"/>
        </w:rPr>
        <w:t xml:space="preserve"> eura, dok su u 2022. godini ostvareni u iznosu od 28</w:t>
      </w:r>
      <w:r w:rsidR="00C801CD">
        <w:rPr>
          <w:b w:val="0"/>
          <w:bCs w:val="0"/>
          <w:sz w:val="24"/>
        </w:rPr>
        <w:t>.994.160,61</w:t>
      </w:r>
      <w:r w:rsidRPr="009548E1">
        <w:rPr>
          <w:b w:val="0"/>
          <w:bCs w:val="0"/>
          <w:sz w:val="24"/>
        </w:rPr>
        <w:t xml:space="preserve"> eura što predstavlja </w:t>
      </w:r>
      <w:r w:rsidR="0001767F" w:rsidRPr="009548E1">
        <w:rPr>
          <w:b w:val="0"/>
          <w:bCs w:val="0"/>
          <w:sz w:val="24"/>
        </w:rPr>
        <w:t>smanjenje od 21,3% u promatranom razdoblju</w:t>
      </w:r>
      <w:r w:rsidR="00C801CD">
        <w:rPr>
          <w:b w:val="0"/>
          <w:bCs w:val="0"/>
          <w:sz w:val="24"/>
        </w:rPr>
        <w:t xml:space="preserve">, </w:t>
      </w:r>
      <w:r w:rsidR="00BA2A36" w:rsidRPr="009548E1">
        <w:rPr>
          <w:b w:val="0"/>
          <w:bCs w:val="0"/>
          <w:sz w:val="24"/>
        </w:rPr>
        <w:t>a odnose se najvećim dijelom na alikvotni dio premije na obveznice u iznosu od 21.532.116,34 eura, te dijelom na premiju na trezorske zapise u iznosu od 6.994,57 eura.</w:t>
      </w:r>
    </w:p>
    <w:p w14:paraId="714AB277" w14:textId="59AD7039" w:rsidR="00034C44" w:rsidRPr="009548E1" w:rsidRDefault="00034C44" w:rsidP="0062260A">
      <w:pPr>
        <w:pStyle w:val="Naslov"/>
        <w:keepNext/>
        <w:jc w:val="both"/>
        <w:rPr>
          <w:b w:val="0"/>
          <w:bCs w:val="0"/>
          <w:sz w:val="24"/>
        </w:rPr>
      </w:pPr>
    </w:p>
    <w:p w14:paraId="6DB7113F" w14:textId="77777777" w:rsidR="00034C44" w:rsidRPr="009548E1" w:rsidRDefault="00034C44" w:rsidP="0062260A">
      <w:pPr>
        <w:pStyle w:val="Naslov"/>
        <w:keepNext/>
        <w:jc w:val="both"/>
        <w:rPr>
          <w:b w:val="0"/>
          <w:bCs w:val="0"/>
          <w:color w:val="000000" w:themeColor="text1"/>
          <w:sz w:val="24"/>
        </w:rPr>
      </w:pPr>
    </w:p>
    <w:p w14:paraId="497BD44C" w14:textId="28F4EED6" w:rsidR="00642BFD" w:rsidRPr="009548E1" w:rsidRDefault="00642BFD" w:rsidP="00642BFD">
      <w:pPr>
        <w:pStyle w:val="Naslov"/>
        <w:keepNext/>
        <w:rPr>
          <w:b w:val="0"/>
          <w:bCs w:val="0"/>
          <w:color w:val="000000" w:themeColor="text1"/>
        </w:rPr>
      </w:pPr>
      <w:r w:rsidRPr="009548E1">
        <w:rPr>
          <w:b w:val="0"/>
          <w:bCs w:val="0"/>
          <w:color w:val="000000" w:themeColor="text1"/>
        </w:rPr>
        <w:t xml:space="preserve">Bilješka </w:t>
      </w:r>
      <w:r w:rsidR="002D2B2F">
        <w:rPr>
          <w:b w:val="0"/>
          <w:bCs w:val="0"/>
          <w:color w:val="000000" w:themeColor="text1"/>
        </w:rPr>
        <w:t>14</w:t>
      </w:r>
      <w:r w:rsidRPr="009548E1">
        <w:rPr>
          <w:b w:val="0"/>
          <w:bCs w:val="0"/>
          <w:color w:val="000000" w:themeColor="text1"/>
        </w:rPr>
        <w:t>.</w:t>
      </w:r>
    </w:p>
    <w:p w14:paraId="2E8C4DF6" w14:textId="106EA527" w:rsidR="00642BFD" w:rsidRPr="009548E1" w:rsidRDefault="00642BFD" w:rsidP="00642BFD">
      <w:pPr>
        <w:pStyle w:val="Naslov"/>
        <w:keepNext/>
        <w:rPr>
          <w:b w:val="0"/>
          <w:bCs w:val="0"/>
          <w:color w:val="000000" w:themeColor="text1"/>
        </w:rPr>
      </w:pPr>
      <w:r w:rsidRPr="009548E1">
        <w:rPr>
          <w:b w:val="0"/>
          <w:bCs w:val="0"/>
          <w:color w:val="000000" w:themeColor="text1"/>
        </w:rPr>
        <w:t>Šifra 642</w:t>
      </w:r>
      <w:r w:rsidR="00BA2A36" w:rsidRPr="009548E1">
        <w:rPr>
          <w:b w:val="0"/>
          <w:bCs w:val="0"/>
          <w:color w:val="000000" w:themeColor="text1"/>
        </w:rPr>
        <w:t>3</w:t>
      </w:r>
      <w:r w:rsidRPr="009548E1">
        <w:rPr>
          <w:b w:val="0"/>
          <w:bCs w:val="0"/>
          <w:color w:val="000000" w:themeColor="text1"/>
        </w:rPr>
        <w:t xml:space="preserve"> </w:t>
      </w:r>
      <w:r w:rsidR="00BA2A36" w:rsidRPr="009548E1">
        <w:rPr>
          <w:b w:val="0"/>
          <w:bCs w:val="0"/>
          <w:color w:val="000000" w:themeColor="text1"/>
        </w:rPr>
        <w:t>Naknada za korištenje</w:t>
      </w:r>
      <w:r w:rsidRPr="009548E1">
        <w:rPr>
          <w:b w:val="0"/>
          <w:bCs w:val="0"/>
          <w:color w:val="000000" w:themeColor="text1"/>
        </w:rPr>
        <w:t xml:space="preserve"> nefinancijske imovine </w:t>
      </w:r>
    </w:p>
    <w:p w14:paraId="1C579F8E" w14:textId="0EBC03E6" w:rsidR="00642BFD" w:rsidRPr="009548E1" w:rsidRDefault="00642BFD" w:rsidP="00642BFD">
      <w:pPr>
        <w:jc w:val="both"/>
        <w:rPr>
          <w:rFonts w:eastAsia="Calibri"/>
          <w:color w:val="000000" w:themeColor="text1"/>
        </w:rPr>
      </w:pPr>
      <w:r w:rsidRPr="009548E1">
        <w:t xml:space="preserve">Prihodi od naknada za korištenje nefinancijske imovine u </w:t>
      </w:r>
      <w:r w:rsidRPr="009548E1">
        <w:rPr>
          <w:bCs/>
        </w:rPr>
        <w:t>2023. godini</w:t>
      </w:r>
      <w:r w:rsidRPr="009548E1">
        <w:t xml:space="preserve"> ostvareni su u iznosu od </w:t>
      </w:r>
      <w:r w:rsidRPr="009548E1">
        <w:rPr>
          <w:bCs/>
        </w:rPr>
        <w:t>263.089.702,26 eura, što je povećanje od 1.068</w:t>
      </w:r>
      <w:r w:rsidRPr="009548E1">
        <w:t xml:space="preserve">% u odnosu na ostvarenje u istom razdoblju 2022. godine, kada su prihodi s osnove naknada za korištenje nefinancijske imovine ostvareni u iznosu od </w:t>
      </w:r>
      <w:r w:rsidRPr="009548E1">
        <w:rPr>
          <w:bCs/>
        </w:rPr>
        <w:t>22.524.693,92</w:t>
      </w:r>
      <w:r w:rsidRPr="009548E1">
        <w:t xml:space="preserve"> eura. Najznačajniji iznos</w:t>
      </w:r>
      <w:r w:rsidR="00C801CD">
        <w:t>i u 2023. godini odnose</w:t>
      </w:r>
      <w:r w:rsidRPr="009548E1">
        <w:t xml:space="preserve"> se na prihode s osnove izdanih dozvola za uporabu </w:t>
      </w:r>
      <w:proofErr w:type="spellStart"/>
      <w:r w:rsidRPr="009548E1">
        <w:t>radiofrekvencijskog</w:t>
      </w:r>
      <w:proofErr w:type="spellEnd"/>
      <w:r w:rsidRPr="009548E1">
        <w:t xml:space="preserve"> spektra za javne mreže pokretnih elektroničkih komunikacija na nacionalnoj i regionalnoj razini.</w:t>
      </w:r>
    </w:p>
    <w:p w14:paraId="53DF3EF4" w14:textId="71759B93" w:rsidR="00617B19" w:rsidRPr="009548E1" w:rsidRDefault="00617B19" w:rsidP="00617B19">
      <w:pPr>
        <w:pStyle w:val="xmsonormal"/>
        <w:shd w:val="clear" w:color="auto" w:fill="FFFFFF"/>
        <w:spacing w:before="0" w:beforeAutospacing="0" w:after="0" w:afterAutospacing="0"/>
        <w:jc w:val="both"/>
        <w:rPr>
          <w:color w:val="212121"/>
        </w:rPr>
      </w:pPr>
    </w:p>
    <w:p w14:paraId="2F253E52" w14:textId="77777777" w:rsidR="009D1EDB" w:rsidRPr="009548E1" w:rsidRDefault="009D1EDB" w:rsidP="00617B19">
      <w:pPr>
        <w:pStyle w:val="xmsonormal"/>
        <w:shd w:val="clear" w:color="auto" w:fill="FFFFFF"/>
        <w:spacing w:before="0" w:beforeAutospacing="0" w:after="0" w:afterAutospacing="0"/>
        <w:jc w:val="both"/>
        <w:rPr>
          <w:color w:val="212121"/>
        </w:rPr>
      </w:pPr>
    </w:p>
    <w:p w14:paraId="367F0490" w14:textId="2E6A9BB5" w:rsidR="00617B19" w:rsidRPr="009548E1" w:rsidRDefault="00617B19" w:rsidP="00617B19">
      <w:pPr>
        <w:pStyle w:val="Naslov"/>
        <w:keepNext/>
        <w:rPr>
          <w:b w:val="0"/>
          <w:bCs w:val="0"/>
        </w:rPr>
      </w:pPr>
      <w:r w:rsidRPr="009548E1">
        <w:rPr>
          <w:b w:val="0"/>
          <w:bCs w:val="0"/>
        </w:rPr>
        <w:t xml:space="preserve">Bilješka </w:t>
      </w:r>
      <w:r w:rsidR="002D2B2F">
        <w:rPr>
          <w:b w:val="0"/>
          <w:bCs w:val="0"/>
        </w:rPr>
        <w:t>15</w:t>
      </w:r>
      <w:r w:rsidRPr="009548E1">
        <w:rPr>
          <w:b w:val="0"/>
          <w:bCs w:val="0"/>
        </w:rPr>
        <w:t>.</w:t>
      </w:r>
    </w:p>
    <w:p w14:paraId="41DECDB2" w14:textId="77777777" w:rsidR="00617B19" w:rsidRPr="009548E1" w:rsidRDefault="00617B19" w:rsidP="00617B19">
      <w:pPr>
        <w:pStyle w:val="Naslov"/>
        <w:keepNext/>
        <w:rPr>
          <w:b w:val="0"/>
          <w:bCs w:val="0"/>
        </w:rPr>
      </w:pPr>
      <w:r w:rsidRPr="009548E1">
        <w:rPr>
          <w:b w:val="0"/>
          <w:bCs w:val="0"/>
        </w:rPr>
        <w:t>Šifra 6437 Prihodi od kamata na dane zajmove drugim razinama vlasti</w:t>
      </w:r>
    </w:p>
    <w:p w14:paraId="1B860726" w14:textId="4A1522DB" w:rsidR="00617B19" w:rsidRPr="009548E1" w:rsidRDefault="009D1EDB" w:rsidP="00617B19">
      <w:pPr>
        <w:pStyle w:val="xmsonormal"/>
        <w:shd w:val="clear" w:color="auto" w:fill="FFFFFF"/>
        <w:spacing w:before="0" w:beforeAutospacing="0" w:after="0" w:afterAutospacing="0"/>
        <w:jc w:val="both"/>
        <w:rPr>
          <w:color w:val="212121"/>
        </w:rPr>
      </w:pPr>
      <w:r w:rsidRPr="009548E1">
        <w:rPr>
          <w:color w:val="212121"/>
        </w:rPr>
        <w:t>U 2023</w:t>
      </w:r>
      <w:r w:rsidR="00617B19" w:rsidRPr="009548E1">
        <w:rPr>
          <w:color w:val="212121"/>
        </w:rPr>
        <w:t>. godini prihodi od kamata na dane zajmove drugim razinama vlasti ostvareni su u iznosu 115.</w:t>
      </w:r>
      <w:r w:rsidRPr="009548E1">
        <w:rPr>
          <w:color w:val="212121"/>
        </w:rPr>
        <w:t>333.445,18 eura odnosno na razini su ostvarenja 2022</w:t>
      </w:r>
      <w:r w:rsidR="00617B19" w:rsidRPr="009548E1">
        <w:rPr>
          <w:color w:val="212121"/>
        </w:rPr>
        <w:t xml:space="preserve">. godine. </w:t>
      </w:r>
    </w:p>
    <w:p w14:paraId="7FCCFC57" w14:textId="77777777" w:rsidR="00617B19" w:rsidRPr="009548E1" w:rsidRDefault="00617B19" w:rsidP="00617B19">
      <w:pPr>
        <w:pStyle w:val="xmsonormal"/>
        <w:shd w:val="clear" w:color="auto" w:fill="FFFFFF"/>
        <w:spacing w:before="0" w:beforeAutospacing="0" w:after="0" w:afterAutospacing="0"/>
        <w:jc w:val="both"/>
        <w:rPr>
          <w:color w:val="212121"/>
        </w:rPr>
      </w:pPr>
    </w:p>
    <w:p w14:paraId="75F99701" w14:textId="2A4B0ACA" w:rsidR="00617B19" w:rsidRPr="009548E1" w:rsidRDefault="00617B19" w:rsidP="00617B19">
      <w:pPr>
        <w:pStyle w:val="xmsonormal"/>
        <w:shd w:val="clear" w:color="auto" w:fill="FFFFFF"/>
        <w:spacing w:before="0" w:beforeAutospacing="0" w:after="0" w:afterAutospacing="0"/>
        <w:jc w:val="both"/>
        <w:rPr>
          <w:color w:val="212121"/>
        </w:rPr>
      </w:pPr>
      <w:r w:rsidRPr="009548E1">
        <w:rPr>
          <w:color w:val="212121"/>
        </w:rPr>
        <w:t>Od ukupnog iznosa</w:t>
      </w:r>
      <w:r w:rsidR="009D1EDB" w:rsidRPr="009548E1">
        <w:rPr>
          <w:color w:val="212121"/>
        </w:rPr>
        <w:t>,</w:t>
      </w:r>
      <w:r w:rsidRPr="009548E1">
        <w:rPr>
          <w:color w:val="212121"/>
        </w:rPr>
        <w:t xml:space="preserve"> </w:t>
      </w:r>
      <w:r w:rsidR="009D1EDB" w:rsidRPr="009548E1">
        <w:rPr>
          <w:color w:val="212121"/>
        </w:rPr>
        <w:t>14.224.741,37 eura</w:t>
      </w:r>
      <w:r w:rsidRPr="009548E1">
        <w:rPr>
          <w:color w:val="212121"/>
        </w:rPr>
        <w:t xml:space="preserve"> prihoda ostvareno je od uplate Hrvatskih cesta vezano uz financijsko restrukturiranje cestarskih društava odnosno refinanciranja njihovih obveza temeljem izdane obveznice 2017. godine. Naime, Ugovorom o prijenosu sredstava Ministarstvo financija je 2017. godine sredstva prikupljena izdavanjem </w:t>
      </w:r>
      <w:proofErr w:type="spellStart"/>
      <w:r w:rsidRPr="009548E1">
        <w:rPr>
          <w:color w:val="212121"/>
        </w:rPr>
        <w:t>euroobveznica</w:t>
      </w:r>
      <w:proofErr w:type="spellEnd"/>
      <w:r w:rsidRPr="009548E1">
        <w:rPr>
          <w:color w:val="212121"/>
        </w:rPr>
        <w:t xml:space="preserve"> ustupilo u korist HAC-a, ARZ-a i HC-a. Na ustupljena sredstva obračunava se kamata koja je identična onoj koju plaća Ministarstvo financija, te su navedena društva dužna uplatiti iznos obračunatih kamata u korist državnog proračuna prije dospijeća obveze Ministarstva financija. Temeljem Dodatka Ugovoru HAC i ARZ nisu bili u obvezi plaćanja kamata u protekle 3 godine (od 2021. godine do 2023. godine) s obzirom na to da im je odobren moratorij.</w:t>
      </w:r>
    </w:p>
    <w:p w14:paraId="7F46902D" w14:textId="77777777" w:rsidR="008E412D" w:rsidRPr="009548E1" w:rsidRDefault="008E412D" w:rsidP="009D1EDB">
      <w:pPr>
        <w:pStyle w:val="Naslov"/>
        <w:keepNext/>
        <w:rPr>
          <w:b w:val="0"/>
          <w:bCs w:val="0"/>
        </w:rPr>
      </w:pPr>
    </w:p>
    <w:p w14:paraId="60112936" w14:textId="2E77B24B" w:rsidR="009D1EDB" w:rsidRPr="009548E1" w:rsidRDefault="009D1EDB" w:rsidP="009D1EDB">
      <w:pPr>
        <w:pStyle w:val="Naslov"/>
        <w:keepNext/>
        <w:rPr>
          <w:b w:val="0"/>
          <w:bCs w:val="0"/>
        </w:rPr>
      </w:pPr>
      <w:r w:rsidRPr="009548E1">
        <w:rPr>
          <w:b w:val="0"/>
          <w:bCs w:val="0"/>
        </w:rPr>
        <w:t xml:space="preserve">Bilješka </w:t>
      </w:r>
      <w:r w:rsidR="002D2B2F">
        <w:rPr>
          <w:b w:val="0"/>
          <w:bCs w:val="0"/>
        </w:rPr>
        <w:t>16</w:t>
      </w:r>
      <w:r w:rsidRPr="009548E1">
        <w:rPr>
          <w:b w:val="0"/>
          <w:bCs w:val="0"/>
        </w:rPr>
        <w:t>.</w:t>
      </w:r>
    </w:p>
    <w:p w14:paraId="0D66E166" w14:textId="77777777" w:rsidR="009D1EDB" w:rsidRPr="009548E1" w:rsidRDefault="009D1EDB" w:rsidP="009D1EDB">
      <w:pPr>
        <w:pStyle w:val="Naslov"/>
        <w:keepNext/>
        <w:rPr>
          <w:b w:val="0"/>
          <w:bCs w:val="0"/>
        </w:rPr>
      </w:pPr>
      <w:r w:rsidRPr="009548E1">
        <w:rPr>
          <w:b w:val="0"/>
          <w:bCs w:val="0"/>
        </w:rPr>
        <w:t>Šifra 6634 Povrat kapitalnih pomoći danih trgovačkim društvima i obrtnicima po protestiranim jamstvima</w:t>
      </w:r>
    </w:p>
    <w:p w14:paraId="3EE1C54B" w14:textId="30941F5B" w:rsidR="009D1EDB" w:rsidRPr="009548E1" w:rsidRDefault="009D1EDB" w:rsidP="009D1EDB">
      <w:pPr>
        <w:shd w:val="clear" w:color="auto" w:fill="FFFFFF"/>
        <w:jc w:val="both"/>
        <w:rPr>
          <w:color w:val="000000"/>
        </w:rPr>
      </w:pPr>
      <w:r w:rsidRPr="009548E1">
        <w:rPr>
          <w:color w:val="000000"/>
        </w:rPr>
        <w:t>Prihodi od povrata kapitalnih pomoći danih trgovačkim društvima i obrtnicima po protestiranim jamstvima u 2023. godini ostvareni su u iznosu od 2.713.003,28 eura, dok su u 2022. godini ostvareni u iznosu od 589.280,29 eura</w:t>
      </w:r>
      <w:r w:rsidR="008E412D" w:rsidRPr="009548E1">
        <w:rPr>
          <w:color w:val="000000"/>
        </w:rPr>
        <w:t>,</w:t>
      </w:r>
      <w:r w:rsidRPr="009548E1">
        <w:rPr>
          <w:color w:val="000000"/>
        </w:rPr>
        <w:t xml:space="preserve"> što predstavlja povećanje od 360,4% u promatranom razdoblju.</w:t>
      </w:r>
    </w:p>
    <w:p w14:paraId="765AB3C5" w14:textId="77777777" w:rsidR="009D1EDB" w:rsidRPr="009548E1" w:rsidRDefault="009D1EDB" w:rsidP="009D1EDB">
      <w:pPr>
        <w:shd w:val="clear" w:color="auto" w:fill="FFFFFF"/>
        <w:jc w:val="both"/>
        <w:rPr>
          <w:color w:val="000000"/>
        </w:rPr>
      </w:pPr>
    </w:p>
    <w:p w14:paraId="119F46B3" w14:textId="3775B731" w:rsidR="008E412D" w:rsidRPr="009548E1" w:rsidRDefault="008E412D" w:rsidP="008E412D">
      <w:pPr>
        <w:shd w:val="clear" w:color="auto" w:fill="FFFFFF"/>
        <w:jc w:val="both"/>
        <w:rPr>
          <w:color w:val="000000"/>
        </w:rPr>
      </w:pPr>
      <w:r w:rsidRPr="009548E1">
        <w:rPr>
          <w:color w:val="000000"/>
        </w:rPr>
        <w:t xml:space="preserve">U posljednjem tromjesečju 2023. godine Ministarstvo financija se u stečajnom postupku društva Uljanik d.d. u stečaju naplatilo u iznosu od 50.356,93 eura, te u stečajnom postupku društva </w:t>
      </w:r>
      <w:proofErr w:type="spellStart"/>
      <w:r w:rsidRPr="009548E1">
        <w:rPr>
          <w:color w:val="000000"/>
        </w:rPr>
        <w:t>Laurus</w:t>
      </w:r>
      <w:proofErr w:type="spellEnd"/>
      <w:r w:rsidRPr="009548E1">
        <w:rPr>
          <w:color w:val="000000"/>
        </w:rPr>
        <w:t xml:space="preserve"> d.d. u stečaju u iznosu od 322.734,68 eura (od</w:t>
      </w:r>
      <w:r w:rsidR="00250A19">
        <w:rPr>
          <w:color w:val="000000"/>
        </w:rPr>
        <w:t xml:space="preserve"> čega se iznos od 281.035,57 eura</w:t>
      </w:r>
      <w:r w:rsidRPr="009548E1">
        <w:rPr>
          <w:color w:val="000000"/>
        </w:rPr>
        <w:t xml:space="preserve"> odnosi na g</w:t>
      </w:r>
      <w:r w:rsidR="00250A19">
        <w:rPr>
          <w:color w:val="000000"/>
        </w:rPr>
        <w:t>lavnicu a iznos od 41.699,11 eura</w:t>
      </w:r>
      <w:r w:rsidRPr="009548E1">
        <w:rPr>
          <w:color w:val="000000"/>
        </w:rPr>
        <w:t xml:space="preserve"> na zateznu kamatu).</w:t>
      </w:r>
    </w:p>
    <w:p w14:paraId="2667F16F" w14:textId="77777777" w:rsidR="008E412D" w:rsidRPr="009548E1" w:rsidRDefault="008E412D" w:rsidP="008E412D">
      <w:pPr>
        <w:shd w:val="clear" w:color="auto" w:fill="FFFFFF"/>
        <w:jc w:val="both"/>
        <w:rPr>
          <w:color w:val="000000"/>
        </w:rPr>
      </w:pPr>
    </w:p>
    <w:p w14:paraId="292AB8C2" w14:textId="6E64A103" w:rsidR="009D1EDB" w:rsidRPr="009548E1" w:rsidRDefault="008E412D" w:rsidP="00617B19">
      <w:pPr>
        <w:shd w:val="clear" w:color="auto" w:fill="FFFFFF"/>
        <w:jc w:val="both"/>
        <w:rPr>
          <w:color w:val="000000"/>
        </w:rPr>
      </w:pPr>
      <w:r w:rsidRPr="009548E1">
        <w:rPr>
          <w:color w:val="000000"/>
        </w:rPr>
        <w:t>Nadalje, izvršeni su povrati po protestiranim državnim jamstvima u ukupnom iznosu od 2.099.540,71 eura (od čega se iznos od 1.822.519,54 eura odnosi na gla</w:t>
      </w:r>
      <w:r w:rsidR="00250A19">
        <w:rPr>
          <w:color w:val="000000"/>
        </w:rPr>
        <w:t>vnicu, a iznos od 277.021,17 eura</w:t>
      </w:r>
      <w:r w:rsidRPr="009548E1">
        <w:rPr>
          <w:color w:val="000000"/>
        </w:rPr>
        <w:t xml:space="preserve"> na zateznu kamatu), po predmetima koji su klasificirani povjerljivo.</w:t>
      </w:r>
    </w:p>
    <w:p w14:paraId="7C1C43E6" w14:textId="77777777" w:rsidR="008E412D" w:rsidRPr="009548E1" w:rsidRDefault="008E412D" w:rsidP="00617B19">
      <w:pPr>
        <w:shd w:val="clear" w:color="auto" w:fill="FFFFFF"/>
        <w:jc w:val="both"/>
        <w:rPr>
          <w:color w:val="000000"/>
        </w:rPr>
      </w:pPr>
    </w:p>
    <w:p w14:paraId="55D955F0" w14:textId="2EC1B91D" w:rsidR="002F618A" w:rsidRPr="009548E1" w:rsidRDefault="002F618A" w:rsidP="002F618A">
      <w:pPr>
        <w:pStyle w:val="Naslov"/>
        <w:keepNext/>
        <w:rPr>
          <w:b w:val="0"/>
          <w:bCs w:val="0"/>
        </w:rPr>
      </w:pPr>
      <w:r w:rsidRPr="009548E1">
        <w:rPr>
          <w:b w:val="0"/>
          <w:bCs w:val="0"/>
        </w:rPr>
        <w:t xml:space="preserve">Bilješka </w:t>
      </w:r>
      <w:r w:rsidR="002D2B2F">
        <w:rPr>
          <w:b w:val="0"/>
          <w:bCs w:val="0"/>
        </w:rPr>
        <w:t>17</w:t>
      </w:r>
      <w:r w:rsidRPr="009548E1">
        <w:rPr>
          <w:b w:val="0"/>
          <w:bCs w:val="0"/>
        </w:rPr>
        <w:t>.</w:t>
      </w:r>
    </w:p>
    <w:p w14:paraId="0DC2AF08" w14:textId="77777777" w:rsidR="002F618A" w:rsidRPr="009548E1" w:rsidRDefault="002F618A" w:rsidP="002F618A">
      <w:pPr>
        <w:pStyle w:val="Naslov"/>
        <w:keepNext/>
        <w:rPr>
          <w:b w:val="0"/>
          <w:bCs w:val="0"/>
        </w:rPr>
      </w:pPr>
      <w:r w:rsidRPr="009548E1">
        <w:rPr>
          <w:b w:val="0"/>
          <w:bCs w:val="0"/>
        </w:rPr>
        <w:t>Šifra 3235 Zakupnine i najamnine</w:t>
      </w:r>
    </w:p>
    <w:p w14:paraId="00C18D64" w14:textId="244DBB41" w:rsidR="002F618A" w:rsidRPr="009548E1" w:rsidRDefault="002F618A" w:rsidP="002F618A">
      <w:pPr>
        <w:jc w:val="both"/>
      </w:pPr>
      <w:r w:rsidRPr="009548E1">
        <w:t>Rashodi za zakupnine i najamnine u 2023. godini bilježe stopostotno povećanje u odnosu na izvršene rashode za zakupnine i najamnine u 2022. godini.</w:t>
      </w:r>
    </w:p>
    <w:p w14:paraId="1C59F3BF" w14:textId="77777777" w:rsidR="002F618A" w:rsidRPr="009548E1" w:rsidRDefault="002F618A" w:rsidP="002F618A">
      <w:pPr>
        <w:jc w:val="both"/>
      </w:pPr>
    </w:p>
    <w:p w14:paraId="41E8A5A1" w14:textId="5FEADDEE" w:rsidR="002F618A" w:rsidRPr="009548E1" w:rsidRDefault="002F618A" w:rsidP="002F618A">
      <w:pPr>
        <w:jc w:val="both"/>
      </w:pPr>
      <w:r w:rsidRPr="009548E1">
        <w:t xml:space="preserve">Ukupan iznos od 1.199.981,10 eura </w:t>
      </w:r>
      <w:r w:rsidR="00250A19">
        <w:t>iskazanih</w:t>
      </w:r>
      <w:r w:rsidRPr="009548E1">
        <w:t xml:space="preserve"> u 2023. odnosi se na troškove na ime naknade za korištenje kopnene površine otvorenog i zatvorenog prostora, a vezano za smještaj broda u gradnji ULJANIK 531, koji je u vlasništvu Republike Hrvatske, a temeljem Sporazuma od 24. ožujka 2023. godine zaključenog između Republike Hrvatske, Ministarstva financija i društva ULJANIK Brodogradnja 1856 d.o.o.</w:t>
      </w:r>
    </w:p>
    <w:p w14:paraId="1526DC28" w14:textId="77777777" w:rsidR="002F618A" w:rsidRPr="009548E1" w:rsidRDefault="002F618A" w:rsidP="002F618A">
      <w:pPr>
        <w:pStyle w:val="Naslov"/>
        <w:keepNext/>
        <w:rPr>
          <w:b w:val="0"/>
          <w:bCs w:val="0"/>
        </w:rPr>
      </w:pPr>
    </w:p>
    <w:p w14:paraId="0ED8B16B" w14:textId="3EBAF377" w:rsidR="002F618A" w:rsidRPr="009548E1" w:rsidRDefault="002F618A" w:rsidP="002F618A">
      <w:pPr>
        <w:pStyle w:val="Naslov"/>
        <w:keepNext/>
        <w:rPr>
          <w:b w:val="0"/>
          <w:bCs w:val="0"/>
        </w:rPr>
      </w:pPr>
      <w:r w:rsidRPr="009548E1">
        <w:rPr>
          <w:b w:val="0"/>
          <w:bCs w:val="0"/>
        </w:rPr>
        <w:t xml:space="preserve">Bilješka </w:t>
      </w:r>
      <w:r w:rsidR="002D2B2F">
        <w:rPr>
          <w:b w:val="0"/>
          <w:bCs w:val="0"/>
        </w:rPr>
        <w:t>18</w:t>
      </w:r>
      <w:r w:rsidRPr="009548E1">
        <w:rPr>
          <w:b w:val="0"/>
          <w:bCs w:val="0"/>
        </w:rPr>
        <w:t>.</w:t>
      </w:r>
    </w:p>
    <w:p w14:paraId="2A1B02E8" w14:textId="77777777" w:rsidR="002F618A" w:rsidRPr="009548E1" w:rsidRDefault="002F618A" w:rsidP="002F618A">
      <w:pPr>
        <w:pStyle w:val="Naslov"/>
        <w:keepNext/>
        <w:rPr>
          <w:b w:val="0"/>
          <w:bCs w:val="0"/>
        </w:rPr>
      </w:pPr>
      <w:r w:rsidRPr="009548E1">
        <w:rPr>
          <w:b w:val="0"/>
          <w:bCs w:val="0"/>
        </w:rPr>
        <w:t>Šifra 3238 Računalne usluge</w:t>
      </w:r>
    </w:p>
    <w:p w14:paraId="5B49B335" w14:textId="09231693" w:rsidR="00AC7CFE" w:rsidRPr="009548E1" w:rsidRDefault="002F618A" w:rsidP="00176DE1">
      <w:pPr>
        <w:jc w:val="both"/>
      </w:pPr>
      <w:r w:rsidRPr="009548E1">
        <w:t>Rashodi za računalne usluge</w:t>
      </w:r>
      <w:r w:rsidR="00D56D1C" w:rsidRPr="009548E1">
        <w:t xml:space="preserve"> najvećim se dijelom odnose na rashode održavanja računalnih informacijskih sustava za podršku radu informacijskog sustava državne riznice temeljem Ugovora o obavljanju određenih poslova za potrebe Ministarstva financija zaključenog s Financijskom agencijom (FINA). U</w:t>
      </w:r>
      <w:r w:rsidRPr="009548E1">
        <w:t xml:space="preserve"> </w:t>
      </w:r>
      <w:r w:rsidR="005431A0" w:rsidRPr="009548E1">
        <w:t>2023. godini</w:t>
      </w:r>
      <w:r w:rsidR="00D56D1C" w:rsidRPr="009548E1">
        <w:t xml:space="preserve"> rashodi za računalne usluge</w:t>
      </w:r>
      <w:r w:rsidRPr="009548E1">
        <w:t xml:space="preserve"> </w:t>
      </w:r>
      <w:r w:rsidR="005431A0" w:rsidRPr="009548E1">
        <w:t>i</w:t>
      </w:r>
      <w:r w:rsidR="00250A19">
        <w:t>skazani</w:t>
      </w:r>
      <w:r w:rsidRPr="009548E1">
        <w:t xml:space="preserve"> su u iznosu od </w:t>
      </w:r>
      <w:r w:rsidR="005431A0" w:rsidRPr="009548E1">
        <w:t>2.767.930,64</w:t>
      </w:r>
      <w:r w:rsidRPr="009548E1">
        <w:t xml:space="preserve"> eura i bilježe </w:t>
      </w:r>
      <w:r w:rsidR="005431A0" w:rsidRPr="009548E1">
        <w:t>porast od 85,5% u odnosu na izvršene</w:t>
      </w:r>
      <w:r w:rsidR="00D56D1C" w:rsidRPr="009548E1">
        <w:t xml:space="preserve"> rashode 2022. godine, a na navedeno povećanje u 2023. utjecao je rashod za nabavu digitalne platforme za vrijednosne papire E-riznica u iznosu od 782.347,23 eura.</w:t>
      </w:r>
    </w:p>
    <w:p w14:paraId="5598730D" w14:textId="548292F6" w:rsidR="00176DE1" w:rsidRPr="009548E1" w:rsidRDefault="00176DE1" w:rsidP="00176DE1">
      <w:pPr>
        <w:jc w:val="both"/>
      </w:pPr>
    </w:p>
    <w:p w14:paraId="304CCE05" w14:textId="0D8869D0" w:rsidR="00176DE1" w:rsidRPr="009548E1" w:rsidRDefault="00176DE1" w:rsidP="00176DE1">
      <w:pPr>
        <w:jc w:val="both"/>
      </w:pPr>
    </w:p>
    <w:p w14:paraId="499BA17D" w14:textId="313CE94A" w:rsidR="00176DE1" w:rsidRPr="009548E1" w:rsidRDefault="00176DE1" w:rsidP="00176DE1">
      <w:pPr>
        <w:jc w:val="center"/>
        <w:rPr>
          <w:sz w:val="28"/>
          <w:szCs w:val="28"/>
        </w:rPr>
      </w:pPr>
      <w:r w:rsidRPr="009548E1">
        <w:rPr>
          <w:sz w:val="28"/>
          <w:szCs w:val="28"/>
        </w:rPr>
        <w:t>Bilješka</w:t>
      </w:r>
      <w:r w:rsidR="002D2B2F">
        <w:rPr>
          <w:sz w:val="28"/>
          <w:szCs w:val="28"/>
        </w:rPr>
        <w:t xml:space="preserve"> 19.</w:t>
      </w:r>
    </w:p>
    <w:p w14:paraId="728F0535" w14:textId="77777777" w:rsidR="00176DE1" w:rsidRPr="009548E1" w:rsidRDefault="00176DE1" w:rsidP="00176DE1">
      <w:pPr>
        <w:jc w:val="center"/>
        <w:rPr>
          <w:sz w:val="28"/>
          <w:szCs w:val="28"/>
        </w:rPr>
      </w:pPr>
      <w:r w:rsidRPr="009548E1">
        <w:rPr>
          <w:sz w:val="28"/>
          <w:szCs w:val="28"/>
        </w:rPr>
        <w:t>Šifra 3411 Kamate za izdane trezorske zapise</w:t>
      </w:r>
    </w:p>
    <w:p w14:paraId="73C7C96C" w14:textId="509A95E4" w:rsidR="00176DE1" w:rsidRPr="009548E1" w:rsidRDefault="00176DE1" w:rsidP="00176DE1">
      <w:pPr>
        <w:jc w:val="both"/>
      </w:pPr>
      <w:r w:rsidRPr="009548E1">
        <w:t xml:space="preserve">Rashodi za kamate za izdane trezorske zapise u 2023. godini ostvareni su u iznosu 5.208.210,88 eura što je povećanje od 1.104 % u odnosu na 432.466,65 eura ostvarenih tijekom 2022. godine </w:t>
      </w:r>
    </w:p>
    <w:p w14:paraId="52872826" w14:textId="77777777" w:rsidR="00176DE1" w:rsidRPr="009548E1" w:rsidRDefault="00176DE1" w:rsidP="00176DE1">
      <w:pPr>
        <w:jc w:val="both"/>
      </w:pPr>
    </w:p>
    <w:p w14:paraId="261C13A5" w14:textId="77777777" w:rsidR="00176DE1" w:rsidRPr="009548E1" w:rsidRDefault="00176DE1" w:rsidP="00176DE1">
      <w:pPr>
        <w:jc w:val="both"/>
      </w:pPr>
      <w:r w:rsidRPr="009548E1">
        <w:t>Rast rashoda za kamate za izdane trezorske zapise u zemlji u  2023. godini u odnosu na 2022. godinu dogodio se zbog porasta kamatnih stopa na trezorske zapise po svim rokovima dospijeća.</w:t>
      </w:r>
    </w:p>
    <w:p w14:paraId="1E2A729E" w14:textId="77777777" w:rsidR="00176DE1" w:rsidRPr="009548E1" w:rsidRDefault="00176DE1" w:rsidP="00176DE1">
      <w:pPr>
        <w:jc w:val="both"/>
      </w:pPr>
    </w:p>
    <w:p w14:paraId="5D7BCA6C" w14:textId="77777777" w:rsidR="00176DE1" w:rsidRPr="009548E1" w:rsidRDefault="00176DE1" w:rsidP="00176DE1">
      <w:pPr>
        <w:jc w:val="both"/>
      </w:pPr>
      <w:r w:rsidRPr="009548E1">
        <w:t xml:space="preserve">Potkraj prosinca 2023. godine kamatne stope na trezorske zapise s rokom dospijeća od 364 dana iznosile su 3,65% (kategorija </w:t>
      </w:r>
      <w:proofErr w:type="spellStart"/>
      <w:r w:rsidRPr="009548E1">
        <w:t>ulagatelja</w:t>
      </w:r>
      <w:proofErr w:type="spellEnd"/>
      <w:r w:rsidRPr="009548E1">
        <w:t xml:space="preserve">: institucionalni investitori) te 3,75% (kategorija </w:t>
      </w:r>
      <w:proofErr w:type="spellStart"/>
      <w:r w:rsidRPr="009548E1">
        <w:t>ulagatelja</w:t>
      </w:r>
      <w:proofErr w:type="spellEnd"/>
      <w:r w:rsidRPr="009548E1">
        <w:t>: fizičke osobe). Uz navedene, kamatne stope na trezorske zapise s rokom dospijeća od 182 dana iznosile su 3,20% i na rok dospijeća od 91 dan 2,00%.</w:t>
      </w:r>
    </w:p>
    <w:p w14:paraId="711185D2" w14:textId="77777777" w:rsidR="00176DE1" w:rsidRPr="009548E1" w:rsidRDefault="00176DE1" w:rsidP="00176DE1">
      <w:pPr>
        <w:jc w:val="both"/>
      </w:pPr>
    </w:p>
    <w:p w14:paraId="45501BCA" w14:textId="55752105" w:rsidR="00176DE1" w:rsidRPr="009548E1" w:rsidRDefault="00176DE1" w:rsidP="00176DE1">
      <w:pPr>
        <w:jc w:val="both"/>
      </w:pPr>
      <w:r w:rsidRPr="009548E1">
        <w:t>Potkraj 2022. godine kamatne stope na trezorske zapise su bile znatno niže. Kamatne stope na tadašnje trezorske zapise u kunama s rokom dospijeća od 364 dana iznosile su 0,20%, s rokom dospijeća od 182 dana iznosile su 0,10%, dok su s rokom dospijeća od 91 dan bile 0,08%. Kamatne stope na trezorske zapise s valutnom klauzulom s rokom dospijeća od 364 dana iznosile su -0,05%, a kamatna stopa na euro FX trezorske zapise s rokom dospijeća od 364 dana je bila 0,10%.</w:t>
      </w:r>
    </w:p>
    <w:p w14:paraId="0980AAD1" w14:textId="39AF1C5F" w:rsidR="00176DE1" w:rsidRPr="009548E1" w:rsidRDefault="00176DE1" w:rsidP="00176DE1">
      <w:pPr>
        <w:jc w:val="both"/>
      </w:pPr>
    </w:p>
    <w:p w14:paraId="24968ED8" w14:textId="77777777" w:rsidR="00176DE1" w:rsidRPr="009548E1" w:rsidRDefault="00176DE1" w:rsidP="00176DE1">
      <w:pPr>
        <w:pStyle w:val="Naslov"/>
        <w:keepNext/>
        <w:rPr>
          <w:b w:val="0"/>
          <w:bCs w:val="0"/>
        </w:rPr>
      </w:pPr>
    </w:p>
    <w:p w14:paraId="50339B15" w14:textId="4363CD6A" w:rsidR="00176DE1" w:rsidRPr="009548E1" w:rsidRDefault="00176DE1" w:rsidP="00176DE1">
      <w:pPr>
        <w:pStyle w:val="Naslov"/>
        <w:keepNext/>
        <w:rPr>
          <w:b w:val="0"/>
          <w:bCs w:val="0"/>
        </w:rPr>
      </w:pPr>
      <w:r w:rsidRPr="009548E1">
        <w:rPr>
          <w:b w:val="0"/>
          <w:bCs w:val="0"/>
        </w:rPr>
        <w:t>Bilješka</w:t>
      </w:r>
      <w:r w:rsidR="002D2B2F">
        <w:rPr>
          <w:b w:val="0"/>
          <w:bCs w:val="0"/>
        </w:rPr>
        <w:t xml:space="preserve"> 20.</w:t>
      </w:r>
    </w:p>
    <w:p w14:paraId="66D16445" w14:textId="77777777" w:rsidR="00176DE1" w:rsidRPr="009548E1" w:rsidRDefault="00176DE1" w:rsidP="00176DE1">
      <w:pPr>
        <w:pStyle w:val="Naslov"/>
        <w:keepNext/>
        <w:rPr>
          <w:b w:val="0"/>
          <w:bCs w:val="0"/>
        </w:rPr>
      </w:pPr>
      <w:r w:rsidRPr="009548E1">
        <w:rPr>
          <w:b w:val="0"/>
          <w:bCs w:val="0"/>
        </w:rPr>
        <w:t>Šifra 3421 Kamate za primljene kredite i zajmove od međunarodnih organizacija, institucija i tijela EU te inozemnih vlada</w:t>
      </w:r>
    </w:p>
    <w:p w14:paraId="0A009DA3" w14:textId="3943BC8C" w:rsidR="00176DE1" w:rsidRPr="009548E1" w:rsidRDefault="00176DE1" w:rsidP="00176DE1">
      <w:pPr>
        <w:shd w:val="clear" w:color="auto" w:fill="FFFFFF"/>
        <w:jc w:val="both"/>
        <w:rPr>
          <w:bCs/>
        </w:rPr>
      </w:pPr>
      <w:r w:rsidRPr="009548E1">
        <w:rPr>
          <w:bCs/>
        </w:rPr>
        <w:t xml:space="preserve">Rashodi za kamate za primljene kredite i zajmove od međunarodnih organizacija, institucija i tijela EU te inozemnih vlada </w:t>
      </w:r>
      <w:r w:rsidR="009D6451" w:rsidRPr="009548E1">
        <w:rPr>
          <w:bCs/>
        </w:rPr>
        <w:t>u 2023. godini</w:t>
      </w:r>
      <w:r w:rsidRPr="009548E1">
        <w:rPr>
          <w:bCs/>
        </w:rPr>
        <w:t xml:space="preserve"> ostvareni su u iznosu</w:t>
      </w:r>
      <w:r w:rsidR="009D6451" w:rsidRPr="009548E1">
        <w:rPr>
          <w:bCs/>
        </w:rPr>
        <w:t xml:space="preserve"> od 73</w:t>
      </w:r>
      <w:r w:rsidR="00250A19">
        <w:rPr>
          <w:bCs/>
        </w:rPr>
        <w:t xml:space="preserve">.356.938,93 </w:t>
      </w:r>
      <w:r w:rsidRPr="009548E1">
        <w:rPr>
          <w:bCs/>
        </w:rPr>
        <w:t xml:space="preserve">eura i veći su za </w:t>
      </w:r>
      <w:r w:rsidR="009D6451" w:rsidRPr="009548E1">
        <w:rPr>
          <w:bCs/>
        </w:rPr>
        <w:t>207,2</w:t>
      </w:r>
      <w:r w:rsidRPr="009548E1">
        <w:rPr>
          <w:bCs/>
        </w:rPr>
        <w:t>% u odnosu na ostvarene rashode u istom razdoblju 2022. godine.</w:t>
      </w:r>
    </w:p>
    <w:p w14:paraId="54AC1F46" w14:textId="77777777" w:rsidR="00176DE1" w:rsidRPr="009548E1" w:rsidRDefault="00176DE1" w:rsidP="00176DE1">
      <w:pPr>
        <w:shd w:val="clear" w:color="auto" w:fill="FFFFFF"/>
        <w:jc w:val="both"/>
        <w:rPr>
          <w:bCs/>
        </w:rPr>
      </w:pPr>
    </w:p>
    <w:p w14:paraId="0DE02847" w14:textId="4A722B65" w:rsidR="00176DE1" w:rsidRPr="009548E1" w:rsidRDefault="00176DE1" w:rsidP="009D6451">
      <w:pPr>
        <w:shd w:val="clear" w:color="auto" w:fill="FFFFFF"/>
        <w:jc w:val="both"/>
        <w:rPr>
          <w:bCs/>
        </w:rPr>
      </w:pPr>
      <w:r w:rsidRPr="009548E1">
        <w:rPr>
          <w:bCs/>
        </w:rPr>
        <w:t xml:space="preserve">Najznačajniji rashodi </w:t>
      </w:r>
      <w:r w:rsidR="009D6451" w:rsidRPr="009548E1">
        <w:rPr>
          <w:bCs/>
        </w:rPr>
        <w:t>u 2023. godini</w:t>
      </w:r>
      <w:r w:rsidRPr="009548E1">
        <w:rPr>
          <w:bCs/>
        </w:rPr>
        <w:t xml:space="preserve"> odnose se na kamate po IBRD zajmovima 91350-HR IFL FS - Zajam za razvojnu politiku za odgovor na krizu i podršku oporavku, 78460-HR IFL FS DPL - Zajam za razvojnu politiku u fiskalnom, socijalnom i financijskom sektoru, 83640-HR IFL FS ERDPL 2 - Drugi zajam za razvojnu politiku gospodarskog oporavka, 80630-HR IFL FS ERDPL - Zajam za razvojnu politiku gospodarskog oporavka,</w:t>
      </w:r>
      <w:r w:rsidRPr="009548E1">
        <w:t xml:space="preserve"> </w:t>
      </w:r>
      <w:r w:rsidRPr="009548E1">
        <w:rPr>
          <w:bCs/>
        </w:rPr>
        <w:t>83650-HR IFL FS - Program poboljšanja kvalitete i djelotvornosti pružanja zdravstvenih usluga,</w:t>
      </w:r>
      <w:r w:rsidR="00087184" w:rsidRPr="009548E1">
        <w:t xml:space="preserve"> </w:t>
      </w:r>
      <w:r w:rsidR="00087184" w:rsidRPr="009548E1">
        <w:rPr>
          <w:bCs/>
        </w:rPr>
        <w:t>80860-HR IFL FS - Projekt implementacije integriranog sustava zemljišne administracije,</w:t>
      </w:r>
      <w:r w:rsidR="00087184" w:rsidRPr="009548E1">
        <w:t xml:space="preserve"> </w:t>
      </w:r>
      <w:r w:rsidR="00087184" w:rsidRPr="009548E1">
        <w:rPr>
          <w:bCs/>
        </w:rPr>
        <w:t>80210-HR IFL FS - Projekt integracije u EU Natura 2000,</w:t>
      </w:r>
      <w:r w:rsidR="00087184" w:rsidRPr="009548E1">
        <w:t xml:space="preserve"> </w:t>
      </w:r>
      <w:r w:rsidR="00087184" w:rsidRPr="009548E1">
        <w:rPr>
          <w:bCs/>
        </w:rPr>
        <w:t>93030-HR IFL VS - Projekt „Hrvatska: Ususret održivom, pravednom i učinkovitom obrazovanju“,</w:t>
      </w:r>
      <w:r w:rsidR="00087184" w:rsidRPr="009548E1">
        <w:t xml:space="preserve"> </w:t>
      </w:r>
      <w:r w:rsidR="00087184" w:rsidRPr="009548E1">
        <w:rPr>
          <w:bCs/>
        </w:rPr>
        <w:t>91270-HR IFL FS - Projekt oporavka nakon potresa i jačanja pripravnosti javnog zdravstva,</w:t>
      </w:r>
      <w:r w:rsidRPr="009548E1">
        <w:rPr>
          <w:bCs/>
        </w:rPr>
        <w:t xml:space="preserve"> </w:t>
      </w:r>
      <w:r w:rsidR="00087184" w:rsidRPr="009548E1">
        <w:rPr>
          <w:bCs/>
        </w:rPr>
        <w:t>90570-HR IFL FS - Projekt učinkovitog pravosuđa za bolje poslovno okruženje, 89000-HR IFL FS - Dodatno financiranje Projekta implementacije integriranog sustava zemljišne administracije,</w:t>
      </w:r>
      <w:r w:rsidR="00087184" w:rsidRPr="009548E1">
        <w:t xml:space="preserve"> </w:t>
      </w:r>
      <w:r w:rsidR="00087184" w:rsidRPr="009548E1">
        <w:rPr>
          <w:bCs/>
        </w:rPr>
        <w:t xml:space="preserve">87490-HR IFL FS - Projekt modernizacije i restrukturiranja cestovnog sektora </w:t>
      </w:r>
      <w:r w:rsidRPr="009548E1">
        <w:rPr>
          <w:bCs/>
        </w:rPr>
        <w:t xml:space="preserve">EIB zajmovima </w:t>
      </w:r>
      <w:proofErr w:type="spellStart"/>
      <w:r w:rsidRPr="009548E1">
        <w:rPr>
          <w:bCs/>
        </w:rPr>
        <w:t>FINo</w:t>
      </w:r>
      <w:proofErr w:type="spellEnd"/>
      <w:r w:rsidRPr="009548E1">
        <w:rPr>
          <w:bCs/>
        </w:rPr>
        <w:t xml:space="preserve">. 89.118 - Projekt nacionalnog sufinanciranja EU fondova u razdoblju od 2014. - 2020. godine / B, </w:t>
      </w:r>
      <w:proofErr w:type="spellStart"/>
      <w:r w:rsidRPr="009548E1">
        <w:rPr>
          <w:bCs/>
        </w:rPr>
        <w:t>FINo</w:t>
      </w:r>
      <w:proofErr w:type="spellEnd"/>
      <w:r w:rsidRPr="009548E1">
        <w:rPr>
          <w:bCs/>
        </w:rPr>
        <w:t xml:space="preserve">. 25.749 - Projekt sufinanciranja EU IPA ISPA 2007-2011., </w:t>
      </w:r>
      <w:proofErr w:type="spellStart"/>
      <w:r w:rsidRPr="009548E1">
        <w:rPr>
          <w:bCs/>
        </w:rPr>
        <w:t>FINo</w:t>
      </w:r>
      <w:proofErr w:type="spellEnd"/>
      <w:r w:rsidRPr="009548E1">
        <w:rPr>
          <w:bCs/>
        </w:rPr>
        <w:t xml:space="preserve">. 84.395 - Projekt nacionalnog sufinanciranja EU fondova u razdoblju od 2014. - 2020. godine, </w:t>
      </w:r>
      <w:proofErr w:type="spellStart"/>
      <w:r w:rsidRPr="009548E1">
        <w:rPr>
          <w:bCs/>
        </w:rPr>
        <w:t>FINo</w:t>
      </w:r>
      <w:proofErr w:type="spellEnd"/>
      <w:r w:rsidRPr="009548E1">
        <w:rPr>
          <w:bCs/>
        </w:rPr>
        <w:t>. 22.881 - Okvirni višesektorski zajam za komunalnu infrastrukturu za Projekt - "Integralni razvoj lokalne zajednice" te na kamate temeljem privremene potpore Europske komisije radi smanjenja rizika od nezaposlenosti u izvanrednoj situaciji nakon izbijanja bolesti COVID-19 (SURE)</w:t>
      </w:r>
      <w:r w:rsidR="003A4CF6">
        <w:rPr>
          <w:bCs/>
        </w:rPr>
        <w:t>, zajam</w:t>
      </w:r>
      <w:r w:rsidR="009D6451" w:rsidRPr="009548E1">
        <w:rPr>
          <w:bCs/>
        </w:rPr>
        <w:t xml:space="preserve"> Razvojne banke Vijeća Europe (CEB) LD 2056(2020) za podršku mjerama u Republici Hrvatskoj povezanih s </w:t>
      </w:r>
      <w:proofErr w:type="spellStart"/>
      <w:r w:rsidR="009D6451" w:rsidRPr="009548E1">
        <w:rPr>
          <w:bCs/>
        </w:rPr>
        <w:t>pandemijom</w:t>
      </w:r>
      <w:proofErr w:type="spellEnd"/>
      <w:r w:rsidR="009D6451" w:rsidRPr="009548E1">
        <w:rPr>
          <w:bCs/>
        </w:rPr>
        <w:t xml:space="preserve"> bolesti COVID-19 – instrument financiranja javnog sektora,</w:t>
      </w:r>
      <w:r w:rsidR="00087184" w:rsidRPr="009548E1">
        <w:rPr>
          <w:bCs/>
        </w:rPr>
        <w:t xml:space="preserve"> LD 1845Projekt zaštite od poplava,</w:t>
      </w:r>
      <w:r w:rsidR="009D6451" w:rsidRPr="009548E1">
        <w:rPr>
          <w:bCs/>
        </w:rPr>
        <w:t xml:space="preserve"> </w:t>
      </w:r>
      <w:r w:rsidR="00087184" w:rsidRPr="009548E1">
        <w:rPr>
          <w:bCs/>
        </w:rPr>
        <w:t>F/P 1576- Projekt financiranja zdravstvenih ustanova u RH,</w:t>
      </w:r>
      <w:r w:rsidR="00087184" w:rsidRPr="009548E1">
        <w:t xml:space="preserve"> </w:t>
      </w:r>
      <w:r w:rsidR="005244C1" w:rsidRPr="009548E1">
        <w:rPr>
          <w:bCs/>
        </w:rPr>
        <w:t xml:space="preserve">F/P 1498 </w:t>
      </w:r>
      <w:r w:rsidR="00087184" w:rsidRPr="009548E1">
        <w:rPr>
          <w:bCs/>
        </w:rPr>
        <w:t xml:space="preserve">- Projekt izgradnje objekata komunalne i društvene infrastrukture na hrv. </w:t>
      </w:r>
      <w:r w:rsidR="005244C1" w:rsidRPr="009548E1">
        <w:rPr>
          <w:bCs/>
        </w:rPr>
        <w:t>O</w:t>
      </w:r>
      <w:r w:rsidR="00087184" w:rsidRPr="009548E1">
        <w:rPr>
          <w:bCs/>
        </w:rPr>
        <w:t>tocima</w:t>
      </w:r>
      <w:r w:rsidR="005244C1" w:rsidRPr="009548E1">
        <w:rPr>
          <w:bCs/>
        </w:rPr>
        <w:t>, F/P 01456-004-001 - Projekt obnove i izgradnje školskih objekata u RH, F/P 01751-001-001 - Projekt "Financiranje vodno-komunalne infrastrukture",</w:t>
      </w:r>
      <w:r w:rsidR="00087184" w:rsidRPr="009548E1">
        <w:rPr>
          <w:bCs/>
        </w:rPr>
        <w:t xml:space="preserve"> </w:t>
      </w:r>
      <w:r w:rsidR="005244C1" w:rsidRPr="009548E1">
        <w:rPr>
          <w:bCs/>
        </w:rPr>
        <w:t xml:space="preserve">F/P 01511-002-002 - Projekt "Istraživanje, obnova i revitalizacija kulturne baštine Ilok - Vukovar - Vučedol", </w:t>
      </w:r>
      <w:r w:rsidR="009D6451" w:rsidRPr="009548E1">
        <w:rPr>
          <w:bCs/>
        </w:rPr>
        <w:t xml:space="preserve"> F/P 01351-003-001 - Projekt obnove zdravstvene infrastrukture</w:t>
      </w:r>
      <w:r w:rsidR="00631229" w:rsidRPr="009548E1">
        <w:rPr>
          <w:bCs/>
        </w:rPr>
        <w:t>.</w:t>
      </w:r>
    </w:p>
    <w:p w14:paraId="370A9777" w14:textId="2C61874C" w:rsidR="00631229" w:rsidRPr="009548E1" w:rsidRDefault="00631229" w:rsidP="009D6451">
      <w:pPr>
        <w:shd w:val="clear" w:color="auto" w:fill="FFFFFF"/>
        <w:jc w:val="both"/>
        <w:rPr>
          <w:bCs/>
        </w:rPr>
      </w:pPr>
    </w:p>
    <w:p w14:paraId="133AE1E1" w14:textId="6BFB8561" w:rsidR="00631229" w:rsidRPr="009548E1" w:rsidRDefault="00631229" w:rsidP="00631229">
      <w:pPr>
        <w:pStyle w:val="Naslov"/>
        <w:keepNext/>
        <w:rPr>
          <w:b w:val="0"/>
          <w:bCs w:val="0"/>
        </w:rPr>
      </w:pPr>
      <w:r w:rsidRPr="009548E1">
        <w:rPr>
          <w:b w:val="0"/>
          <w:bCs w:val="0"/>
        </w:rPr>
        <w:t>Bilješka</w:t>
      </w:r>
      <w:r w:rsidR="002D2B2F">
        <w:rPr>
          <w:b w:val="0"/>
          <w:bCs w:val="0"/>
        </w:rPr>
        <w:t xml:space="preserve"> 21.</w:t>
      </w:r>
    </w:p>
    <w:p w14:paraId="54F824FE" w14:textId="77777777" w:rsidR="00631229" w:rsidRPr="009548E1" w:rsidRDefault="00631229" w:rsidP="00631229">
      <w:pPr>
        <w:pStyle w:val="Naslov"/>
        <w:keepNext/>
        <w:rPr>
          <w:b w:val="0"/>
          <w:bCs w:val="0"/>
        </w:rPr>
      </w:pPr>
      <w:r w:rsidRPr="009548E1">
        <w:rPr>
          <w:b w:val="0"/>
          <w:bCs w:val="0"/>
        </w:rPr>
        <w:t>Šifra 3422 Kamate za primljene kredite i zajmove od kreditnih i ostalih financijskih institucija u javnom sektoru</w:t>
      </w:r>
    </w:p>
    <w:p w14:paraId="4EAFFD36" w14:textId="706CCF5B" w:rsidR="00631229" w:rsidRPr="009548E1" w:rsidRDefault="00631229" w:rsidP="00631229">
      <w:pPr>
        <w:pStyle w:val="Naslov"/>
        <w:keepNext/>
        <w:jc w:val="both"/>
        <w:rPr>
          <w:b w:val="0"/>
          <w:sz w:val="24"/>
        </w:rPr>
      </w:pPr>
      <w:r w:rsidRPr="009548E1">
        <w:rPr>
          <w:b w:val="0"/>
          <w:sz w:val="24"/>
        </w:rPr>
        <w:t xml:space="preserve">Rashodi za kamate za primljene kredite i zajmove od kreditnih i ostalih financijskih institucija u javnom sektoru u 2023. godini ostvareni su u iznosu od 4.823.242,17 eura te bilježe povećanje u odnosu na ostvarenje u istom razdoblju 2022. godine za 5,7%. Najznačajniji rashodi u 2023. godini odnose se na kamate za primljene kredite i zajmove od Hrvatske banke za obnovu i razvitak, Hrvatske poštanske banke te Croatia banke (Hrvatske vode KO-09/12 - projekt navodnjavanja, HŽ Putnički prijevoz F-001-14 preuzeto 2015., HŽ </w:t>
      </w:r>
      <w:proofErr w:type="spellStart"/>
      <w:r w:rsidRPr="009548E1">
        <w:rPr>
          <w:b w:val="0"/>
          <w:sz w:val="24"/>
        </w:rPr>
        <w:t>Cargo</w:t>
      </w:r>
      <w:proofErr w:type="spellEnd"/>
      <w:r w:rsidRPr="009548E1">
        <w:rPr>
          <w:b w:val="0"/>
          <w:sz w:val="24"/>
        </w:rPr>
        <w:t>).</w:t>
      </w:r>
    </w:p>
    <w:p w14:paraId="34904AFF" w14:textId="195BCDF2" w:rsidR="00631229" w:rsidRPr="009548E1" w:rsidRDefault="00631229" w:rsidP="009D6451">
      <w:pPr>
        <w:shd w:val="clear" w:color="auto" w:fill="FFFFFF"/>
        <w:jc w:val="both"/>
      </w:pPr>
    </w:p>
    <w:p w14:paraId="15DE9F1C" w14:textId="6E8EFC21" w:rsidR="00631229" w:rsidRPr="009548E1" w:rsidRDefault="006B3BF6" w:rsidP="00631229">
      <w:pPr>
        <w:pStyle w:val="Naslov"/>
        <w:keepNext/>
        <w:rPr>
          <w:b w:val="0"/>
          <w:bCs w:val="0"/>
        </w:rPr>
      </w:pPr>
      <w:r w:rsidRPr="009548E1">
        <w:rPr>
          <w:b w:val="0"/>
          <w:bCs w:val="0"/>
        </w:rPr>
        <w:t>Bilješka</w:t>
      </w:r>
      <w:r w:rsidR="002D2B2F">
        <w:rPr>
          <w:b w:val="0"/>
          <w:bCs w:val="0"/>
        </w:rPr>
        <w:t xml:space="preserve"> 22.</w:t>
      </w:r>
    </w:p>
    <w:p w14:paraId="188AB3E4" w14:textId="77777777" w:rsidR="00631229" w:rsidRPr="009548E1" w:rsidRDefault="00631229" w:rsidP="00631229">
      <w:pPr>
        <w:pStyle w:val="Naslov"/>
        <w:keepNext/>
        <w:rPr>
          <w:b w:val="0"/>
          <w:bCs w:val="0"/>
        </w:rPr>
      </w:pPr>
      <w:r w:rsidRPr="009548E1">
        <w:rPr>
          <w:b w:val="0"/>
          <w:bCs w:val="0"/>
        </w:rPr>
        <w:t>Šifra 3423 Kamate na primljene kredite i zajmove od kreditnih i ostalih financijskih institucija izvan javnog sektora</w:t>
      </w:r>
    </w:p>
    <w:p w14:paraId="1C23E695" w14:textId="602342BE" w:rsidR="00631229" w:rsidRPr="009548E1" w:rsidRDefault="00631229" w:rsidP="00631229">
      <w:pPr>
        <w:shd w:val="clear" w:color="auto" w:fill="FFFFFF"/>
        <w:jc w:val="both"/>
        <w:rPr>
          <w:bCs/>
        </w:rPr>
      </w:pPr>
      <w:r w:rsidRPr="009548E1">
        <w:rPr>
          <w:bCs/>
        </w:rPr>
        <w:t>Rashodi za kamate na primljene kredite i zajmove od kreditnih i ostalih financijskih institucija izvan javnog sektora u 2023. godini ostvareni su u iznosu od 64</w:t>
      </w:r>
      <w:r w:rsidR="003A4CF6">
        <w:rPr>
          <w:bCs/>
        </w:rPr>
        <w:t>.770.437,02</w:t>
      </w:r>
      <w:r w:rsidRPr="009548E1">
        <w:rPr>
          <w:bCs/>
        </w:rPr>
        <w:t xml:space="preserve"> eura i veći su za 161,1% u odnosu na ostvarene rashode u istom razdoblju 2022. godine.</w:t>
      </w:r>
    </w:p>
    <w:p w14:paraId="285190D0" w14:textId="77777777" w:rsidR="00631229" w:rsidRPr="009548E1" w:rsidRDefault="00631229" w:rsidP="00631229">
      <w:pPr>
        <w:shd w:val="clear" w:color="auto" w:fill="FFFFFF"/>
        <w:jc w:val="both"/>
        <w:rPr>
          <w:bCs/>
        </w:rPr>
      </w:pPr>
    </w:p>
    <w:p w14:paraId="5C2D3542" w14:textId="3A505E13" w:rsidR="00631229" w:rsidRPr="009548E1" w:rsidRDefault="00631229" w:rsidP="00631229">
      <w:pPr>
        <w:shd w:val="clear" w:color="auto" w:fill="FFFFFF"/>
        <w:jc w:val="both"/>
        <w:rPr>
          <w:bCs/>
        </w:rPr>
      </w:pPr>
      <w:r w:rsidRPr="009548E1">
        <w:rPr>
          <w:bCs/>
        </w:rPr>
        <w:t xml:space="preserve">Najznačajniji rashodi u 2023. godini odnose se na kamate po zajmovima sveučilišta (u </w:t>
      </w:r>
      <w:proofErr w:type="spellStart"/>
      <w:r w:rsidRPr="009548E1">
        <w:rPr>
          <w:bCs/>
        </w:rPr>
        <w:t>Addiko</w:t>
      </w:r>
      <w:proofErr w:type="spellEnd"/>
      <w:r w:rsidRPr="009548E1">
        <w:rPr>
          <w:bCs/>
        </w:rPr>
        <w:t xml:space="preserve"> </w:t>
      </w:r>
      <w:proofErr w:type="spellStart"/>
      <w:r w:rsidRPr="009548E1">
        <w:rPr>
          <w:bCs/>
        </w:rPr>
        <w:t>bank</w:t>
      </w:r>
      <w:proofErr w:type="spellEnd"/>
      <w:r w:rsidRPr="009548E1">
        <w:rPr>
          <w:bCs/>
        </w:rPr>
        <w:t xml:space="preserve"> d.d., Zagrebačkoj banci d.d. i Privrednoj banci Zagreb d.d.), zajmovima Privredne banke Zagreb d.d., Zagrebačke banke d.d., </w:t>
      </w:r>
      <w:r w:rsidRPr="009548E1">
        <w:t xml:space="preserve">RAIFFEISEN Bank i </w:t>
      </w:r>
      <w:proofErr w:type="spellStart"/>
      <w:r w:rsidRPr="009548E1">
        <w:t>Erste&amp;Steiermärkische</w:t>
      </w:r>
      <w:proofErr w:type="spellEnd"/>
      <w:r w:rsidRPr="009548E1">
        <w:t xml:space="preserve"> Bank d.d.</w:t>
      </w:r>
    </w:p>
    <w:p w14:paraId="71F8885D" w14:textId="1558108C" w:rsidR="00631229" w:rsidRPr="009548E1" w:rsidRDefault="007D7CA1" w:rsidP="009D6451">
      <w:pPr>
        <w:shd w:val="clear" w:color="auto" w:fill="FFFFFF"/>
        <w:jc w:val="both"/>
      </w:pPr>
      <w:r w:rsidRPr="009548E1">
        <w:t>Kod kredita uz promjenjivu kamatnu stopu vezanu uz EURIBOR i prinos na TZ u 2023. godini došlo je do znatnog porasta tih stopa, dok su u 2022. godini bile na povijesno najnižoj raz</w:t>
      </w:r>
      <w:r w:rsidR="003A4CF6">
        <w:t>ini zbog čega je sve navedeno</w:t>
      </w:r>
      <w:r w:rsidRPr="009548E1">
        <w:t xml:space="preserve"> imalo za posljedicu porast rashoda za kamate na kredite.</w:t>
      </w:r>
    </w:p>
    <w:p w14:paraId="4A5A235E" w14:textId="7F0BB36C" w:rsidR="00176DE1" w:rsidRPr="009548E1" w:rsidRDefault="00176DE1" w:rsidP="00176DE1">
      <w:pPr>
        <w:jc w:val="both"/>
      </w:pPr>
    </w:p>
    <w:p w14:paraId="536B8C57" w14:textId="5E505E01" w:rsidR="006B3BF6" w:rsidRPr="009548E1" w:rsidRDefault="00D83B41" w:rsidP="006B3BF6">
      <w:pPr>
        <w:pStyle w:val="Naslov"/>
        <w:keepNext/>
        <w:rPr>
          <w:b w:val="0"/>
          <w:bCs w:val="0"/>
        </w:rPr>
      </w:pPr>
      <w:r w:rsidRPr="009548E1">
        <w:rPr>
          <w:b w:val="0"/>
          <w:bCs w:val="0"/>
        </w:rPr>
        <w:t>Bilješka</w:t>
      </w:r>
      <w:r w:rsidR="002D2B2F">
        <w:rPr>
          <w:b w:val="0"/>
          <w:bCs w:val="0"/>
        </w:rPr>
        <w:t xml:space="preserve"> 23.</w:t>
      </w:r>
    </w:p>
    <w:p w14:paraId="5FF3CE6E" w14:textId="77777777" w:rsidR="006B3BF6" w:rsidRPr="009548E1" w:rsidRDefault="006B3BF6" w:rsidP="006B3BF6">
      <w:pPr>
        <w:pStyle w:val="Naslov"/>
        <w:keepNext/>
        <w:rPr>
          <w:b w:val="0"/>
          <w:bCs w:val="0"/>
        </w:rPr>
      </w:pPr>
      <w:r w:rsidRPr="009548E1">
        <w:rPr>
          <w:b w:val="0"/>
          <w:bCs w:val="0"/>
        </w:rPr>
        <w:t>Šifra 3432 Negativne tečajne razlike i razlike zbog primjene valutne klauzule</w:t>
      </w:r>
    </w:p>
    <w:p w14:paraId="27433039" w14:textId="77777777" w:rsidR="006B3BF6" w:rsidRPr="009548E1" w:rsidRDefault="006B3BF6" w:rsidP="006B3BF6">
      <w:pPr>
        <w:shd w:val="clear" w:color="auto" w:fill="FFFFFF"/>
        <w:rPr>
          <w:rFonts w:ascii="Calibri" w:hAnsi="Calibri" w:cs="Calibri"/>
          <w:color w:val="212121"/>
        </w:rPr>
      </w:pPr>
    </w:p>
    <w:p w14:paraId="0D42BA92" w14:textId="187515CD" w:rsidR="006B3BF6" w:rsidRPr="009548E1" w:rsidRDefault="00D83B41" w:rsidP="00D83B41">
      <w:pPr>
        <w:pStyle w:val="Naslov"/>
        <w:keepNext/>
        <w:jc w:val="both"/>
      </w:pPr>
      <w:r w:rsidRPr="009548E1">
        <w:rPr>
          <w:b w:val="0"/>
          <w:bCs w:val="0"/>
          <w:sz w:val="24"/>
        </w:rPr>
        <w:t>Rashodi za negativne tečajne razlike i razlike zbog primjene valutne klauzule ostvareni su u 2023. godini u iznosu od 382.703,40 eura, odnosno za 95,5% su manji u odnosu na 26.083.252,17 eura ostvarenih u 2022. godini. Na ovo je utjecala činjenica uvođenja eura kao nove službene valute u Republici Hrvatskoj što je za posljedicu imalo smanjenje ostvarenja tečajnih razlika.</w:t>
      </w:r>
    </w:p>
    <w:p w14:paraId="53FC2ED5" w14:textId="77777777" w:rsidR="006B3BF6" w:rsidRPr="009548E1" w:rsidRDefault="006B3BF6" w:rsidP="006B3BF6">
      <w:pPr>
        <w:shd w:val="clear" w:color="auto" w:fill="FFFFFF"/>
        <w:rPr>
          <w:rFonts w:ascii="Calibri" w:hAnsi="Calibri" w:cs="Calibri"/>
          <w:color w:val="212121"/>
        </w:rPr>
      </w:pPr>
    </w:p>
    <w:p w14:paraId="7EEF341C" w14:textId="43BC2B6D" w:rsidR="00176DE1" w:rsidRPr="009548E1" w:rsidRDefault="006B3BF6" w:rsidP="00176DE1">
      <w:pPr>
        <w:jc w:val="both"/>
      </w:pPr>
      <w:r w:rsidRPr="009548E1">
        <w:t>U 2022. godini značajniji iznos negativnih tečajnih razlika iznosi</w:t>
      </w:r>
      <w:r w:rsidR="00D83B41" w:rsidRPr="009548E1">
        <w:t>o je</w:t>
      </w:r>
      <w:r w:rsidRPr="009548E1">
        <w:t xml:space="preserve"> u nominalnom iznosu 55.760.692,63 kune</w:t>
      </w:r>
      <w:r w:rsidR="00D83B41" w:rsidRPr="009548E1">
        <w:t xml:space="preserve"> (7.400.715,72 eura)</w:t>
      </w:r>
      <w:r w:rsidRPr="009548E1">
        <w:t>, a odnosi</w:t>
      </w:r>
      <w:r w:rsidR="00D83B41" w:rsidRPr="009548E1">
        <w:t>o</w:t>
      </w:r>
      <w:r w:rsidRPr="009548E1">
        <w:t xml:space="preserve"> se na iskazane negativne tečajne razlike po plaćenim računima. Navedeno je </w:t>
      </w:r>
      <w:r w:rsidR="00D83B41" w:rsidRPr="009548E1">
        <w:t xml:space="preserve">bilo </w:t>
      </w:r>
      <w:r w:rsidRPr="009548E1">
        <w:t>u korelaciji povećanja plaćanja obveza  u inozemnim valutama u 2022. godini CAD, USD, GBP, EUR, NOK, CHF.</w:t>
      </w:r>
    </w:p>
    <w:p w14:paraId="24DAD927" w14:textId="7AC97DDD" w:rsidR="00D83B41" w:rsidRPr="009548E1" w:rsidRDefault="00D83B41" w:rsidP="00176DE1">
      <w:pPr>
        <w:jc w:val="both"/>
      </w:pPr>
    </w:p>
    <w:p w14:paraId="1EEE792E" w14:textId="3DAB90C9" w:rsidR="00D83B41" w:rsidRPr="009548E1" w:rsidRDefault="00D83B41" w:rsidP="00176DE1">
      <w:pPr>
        <w:jc w:val="both"/>
      </w:pPr>
    </w:p>
    <w:p w14:paraId="4ED5F81C" w14:textId="676B1CD1" w:rsidR="00D83B41" w:rsidRPr="009548E1" w:rsidRDefault="00D83B41" w:rsidP="00D83B41">
      <w:pPr>
        <w:pStyle w:val="Naslov"/>
        <w:keepNext/>
        <w:rPr>
          <w:b w:val="0"/>
          <w:bCs w:val="0"/>
        </w:rPr>
      </w:pPr>
      <w:r w:rsidRPr="009548E1">
        <w:rPr>
          <w:b w:val="0"/>
          <w:bCs w:val="0"/>
        </w:rPr>
        <w:t>Bilješka</w:t>
      </w:r>
      <w:r w:rsidR="002D2B2F">
        <w:rPr>
          <w:b w:val="0"/>
          <w:bCs w:val="0"/>
        </w:rPr>
        <w:t xml:space="preserve"> 24.</w:t>
      </w:r>
    </w:p>
    <w:p w14:paraId="019C333A" w14:textId="77777777" w:rsidR="00D83B41" w:rsidRPr="009548E1" w:rsidRDefault="00D83B41" w:rsidP="00D83B41">
      <w:pPr>
        <w:pStyle w:val="Naslov"/>
        <w:keepNext/>
        <w:rPr>
          <w:b w:val="0"/>
          <w:bCs w:val="0"/>
        </w:rPr>
      </w:pPr>
      <w:r w:rsidRPr="009548E1">
        <w:rPr>
          <w:b w:val="0"/>
          <w:bCs w:val="0"/>
        </w:rPr>
        <w:t>Šifra 3434 Ostali nespomenuti financijski rashodi</w:t>
      </w:r>
    </w:p>
    <w:p w14:paraId="79DE35E6" w14:textId="2AE0869D" w:rsidR="00D83B41" w:rsidRPr="009548E1" w:rsidRDefault="00D83B41" w:rsidP="003021C4">
      <w:pPr>
        <w:shd w:val="clear" w:color="auto" w:fill="FFFFFF"/>
        <w:jc w:val="both"/>
      </w:pPr>
      <w:r w:rsidRPr="009548E1">
        <w:t>U 2023. godini ostali nespomenuti financijski rashodi ostvareni su u iznosu 43.530.251,30</w:t>
      </w:r>
      <w:r w:rsidR="003021C4" w:rsidRPr="009548E1">
        <w:t xml:space="preserve"> eura, što je 10,7</w:t>
      </w:r>
      <w:r w:rsidRPr="009548E1">
        <w:t xml:space="preserve"> % više u odnosu na ostvarenje u istom razdoblju 2022. godine kada su navedeni rashodi iznosili </w:t>
      </w:r>
      <w:r w:rsidR="003021C4" w:rsidRPr="009548E1">
        <w:t>39.318.706,87</w:t>
      </w:r>
      <w:r w:rsidRPr="009548E1">
        <w:t xml:space="preserve"> eura. Na navedenoj Šifri evidentiraju se svi troškovi vezani za zaduživanja na domaćem i inozemnom tržištu. Između ostalog, tu su evidentirani troškovi voditelja izdanja obveznica na domaćem i inozemnom tržištu, troškovi uključivanja vrijednosnih papira na Zagrebačku burzu, troškovi rejting agencijama, troškovi deponiranja vrijednosnih papira u SKDD i sl. Također, na ovoj Šifri je evidentiran alikvotni dio obveznica izdanih uz diskont.</w:t>
      </w:r>
    </w:p>
    <w:p w14:paraId="0298FC72" w14:textId="15E3F390" w:rsidR="003021C4" w:rsidRPr="009548E1" w:rsidRDefault="003021C4" w:rsidP="003021C4">
      <w:pPr>
        <w:shd w:val="clear" w:color="auto" w:fill="FFFFFF"/>
        <w:jc w:val="both"/>
      </w:pPr>
    </w:p>
    <w:p w14:paraId="65039C46" w14:textId="71B5858F" w:rsidR="00332E7A" w:rsidRPr="009548E1" w:rsidRDefault="00332E7A" w:rsidP="00332E7A">
      <w:pPr>
        <w:pStyle w:val="Naslov"/>
        <w:keepNext/>
        <w:rPr>
          <w:b w:val="0"/>
          <w:bCs w:val="0"/>
        </w:rPr>
      </w:pPr>
      <w:r w:rsidRPr="009548E1">
        <w:rPr>
          <w:b w:val="0"/>
          <w:bCs w:val="0"/>
        </w:rPr>
        <w:t>Bilješka</w:t>
      </w:r>
      <w:r w:rsidR="002D2B2F">
        <w:rPr>
          <w:b w:val="0"/>
          <w:bCs w:val="0"/>
        </w:rPr>
        <w:t xml:space="preserve"> 25.</w:t>
      </w:r>
    </w:p>
    <w:p w14:paraId="7615E26C" w14:textId="77777777" w:rsidR="00332E7A" w:rsidRPr="009548E1" w:rsidRDefault="00332E7A" w:rsidP="00332E7A">
      <w:pPr>
        <w:keepNext/>
        <w:jc w:val="center"/>
        <w:rPr>
          <w:sz w:val="28"/>
        </w:rPr>
      </w:pPr>
      <w:r w:rsidRPr="009548E1">
        <w:rPr>
          <w:sz w:val="28"/>
        </w:rPr>
        <w:t>Šifra 3512 Subvencije trgovačkim društvima u javnom sektoru, Šifra 3522 Subvencije trgovačkim društvima i zadrugama izvan javnog sektora</w:t>
      </w:r>
    </w:p>
    <w:p w14:paraId="409C4970" w14:textId="4080F207" w:rsidR="00332E7A" w:rsidRPr="009548E1" w:rsidRDefault="00332E7A" w:rsidP="00332E7A">
      <w:pPr>
        <w:jc w:val="both"/>
        <w:rPr>
          <w:rFonts w:eastAsiaTheme="minorHAnsi"/>
          <w:lang w:eastAsia="en-US"/>
        </w:rPr>
      </w:pPr>
      <w:r w:rsidRPr="009548E1">
        <w:rPr>
          <w:rFonts w:eastAsiaTheme="minorHAnsi"/>
          <w:lang w:eastAsia="en-US"/>
        </w:rPr>
        <w:t>U 2023. godini subvencije trgovačkim društvima u javnom sektoru izvršene su u visini ostvarenih rashoda 2022. godine, dok su subvencije trgovačkim društvima i zadrugama izvan javnog sektora izvršene za 11,11% manje u odnosu na prethodnu godinu.</w:t>
      </w:r>
    </w:p>
    <w:p w14:paraId="46BA1F6F" w14:textId="77777777" w:rsidR="00332E7A" w:rsidRPr="009548E1" w:rsidRDefault="00332E7A" w:rsidP="00332E7A">
      <w:pPr>
        <w:jc w:val="both"/>
        <w:rPr>
          <w:rFonts w:eastAsiaTheme="minorHAnsi"/>
          <w:lang w:eastAsia="en-US"/>
        </w:rPr>
      </w:pPr>
    </w:p>
    <w:p w14:paraId="6D54C5AE" w14:textId="77777777" w:rsidR="00332E7A" w:rsidRPr="009548E1" w:rsidRDefault="00332E7A" w:rsidP="00332E7A">
      <w:pPr>
        <w:jc w:val="both"/>
        <w:rPr>
          <w:rFonts w:eastAsiaTheme="minorHAnsi"/>
          <w:lang w:eastAsia="en-US"/>
        </w:rPr>
      </w:pPr>
      <w:r w:rsidRPr="009548E1">
        <w:rPr>
          <w:rFonts w:eastAsiaTheme="minorHAnsi"/>
          <w:lang w:eastAsia="en-US"/>
        </w:rPr>
        <w:t>Naime, u 2022. godini HBOR, Ministarstvo financija, kao tijelo nadležno za koordinaciju praćenja provedbe NPOO-a 2021.-2026., i Ministarstvo gospodarstva i održivog razvoja, kao tijelo nadležno za komponentu/</w:t>
      </w:r>
      <w:proofErr w:type="spellStart"/>
      <w:r w:rsidRPr="009548E1">
        <w:rPr>
          <w:rFonts w:eastAsiaTheme="minorHAnsi"/>
          <w:lang w:eastAsia="en-US"/>
        </w:rPr>
        <w:t>podkomponentu</w:t>
      </w:r>
      <w:proofErr w:type="spellEnd"/>
      <w:r w:rsidRPr="009548E1">
        <w:rPr>
          <w:rFonts w:eastAsiaTheme="minorHAnsi"/>
          <w:lang w:eastAsia="en-US"/>
        </w:rPr>
        <w:t xml:space="preserve"> NPOO-a 2021.-2026., sklopili su:</w:t>
      </w:r>
    </w:p>
    <w:p w14:paraId="683094AD" w14:textId="77777777" w:rsidR="00332E7A" w:rsidRPr="009548E1" w:rsidRDefault="00332E7A" w:rsidP="00332E7A">
      <w:pPr>
        <w:numPr>
          <w:ilvl w:val="0"/>
          <w:numId w:val="7"/>
        </w:numPr>
        <w:contextualSpacing/>
        <w:jc w:val="both"/>
      </w:pPr>
      <w:r w:rsidRPr="009548E1">
        <w:t>Sporazum o delegiranim poslovima u svrhu ustrojavanja "</w:t>
      </w:r>
      <w:proofErr w:type="spellStart"/>
      <w:r w:rsidRPr="009548E1">
        <w:t>umbrella</w:t>
      </w:r>
      <w:proofErr w:type="spellEnd"/>
      <w:r w:rsidRPr="009548E1">
        <w:t>" jamstvenog fonda - inicijalno raspoloživa sredstva namijenjena za ovaj financijski instrument iznose 600 milijuna kuna,</w:t>
      </w:r>
    </w:p>
    <w:p w14:paraId="2AC4A36A" w14:textId="77777777" w:rsidR="00332E7A" w:rsidRPr="009548E1" w:rsidRDefault="00332E7A" w:rsidP="00332E7A">
      <w:pPr>
        <w:numPr>
          <w:ilvl w:val="0"/>
          <w:numId w:val="7"/>
        </w:numPr>
        <w:contextualSpacing/>
        <w:jc w:val="both"/>
      </w:pPr>
      <w:r w:rsidRPr="009548E1">
        <w:t>Sporazum o delegiranim poslovima u svrhu ustrojavanja fonda subvencija za subvencioniranje kamata po kreditima subjektima srednje tržišne kapitalizacije i velikim poslovnim subjektima -  inicijalno raspoloživa sredstva namijenjena za ovaj financijski instrument iznose 200 milijuna kuna,</w:t>
      </w:r>
    </w:p>
    <w:p w14:paraId="54BDE8EE" w14:textId="77777777" w:rsidR="00332E7A" w:rsidRPr="009548E1" w:rsidRDefault="00332E7A" w:rsidP="00332E7A">
      <w:pPr>
        <w:numPr>
          <w:ilvl w:val="0"/>
          <w:numId w:val="7"/>
        </w:numPr>
        <w:contextualSpacing/>
        <w:jc w:val="both"/>
      </w:pPr>
      <w:r w:rsidRPr="009548E1">
        <w:t>Sporazum o delegiranim poslovima u svrhu ustrojavanja fonda subvencija za subvencioniranje kamata po kreditima za subjekte javnog sektora -  inicijalno raspoloživa sredstva namijenjena za ovaj financijski instrument iznose 200 milijuna kuna,</w:t>
      </w:r>
    </w:p>
    <w:p w14:paraId="149DE0FC" w14:textId="77777777" w:rsidR="00332E7A" w:rsidRPr="009548E1" w:rsidRDefault="00332E7A" w:rsidP="00332E7A">
      <w:pPr>
        <w:numPr>
          <w:ilvl w:val="0"/>
          <w:numId w:val="7"/>
        </w:numPr>
        <w:contextualSpacing/>
        <w:jc w:val="both"/>
      </w:pPr>
      <w:r w:rsidRPr="009548E1">
        <w:t>Sporazum o delegiranim poslovima u svrhu ustrojavanja fonda subvencija za subvencioniranje kamata po kreditima za mikro, male i srednje poslovne subjekte -  inicijalno raspoloživa sredstva namijenjena za ovaj financijski instrument iznose 200 milijuna kuna.</w:t>
      </w:r>
    </w:p>
    <w:p w14:paraId="07CCD3F4" w14:textId="77777777" w:rsidR="00332E7A" w:rsidRPr="009548E1" w:rsidRDefault="00332E7A" w:rsidP="00332E7A">
      <w:pPr>
        <w:shd w:val="clear" w:color="auto" w:fill="FFFFFF"/>
        <w:jc w:val="both"/>
        <w:rPr>
          <w:color w:val="000000"/>
        </w:rPr>
      </w:pPr>
    </w:p>
    <w:p w14:paraId="57EBF827" w14:textId="77777777" w:rsidR="00332E7A" w:rsidRPr="009548E1" w:rsidRDefault="00332E7A" w:rsidP="00332E7A">
      <w:pPr>
        <w:jc w:val="both"/>
        <w:rPr>
          <w:rFonts w:eastAsiaTheme="minorHAnsi"/>
          <w:lang w:eastAsia="en-US"/>
        </w:rPr>
      </w:pPr>
      <w:r w:rsidRPr="009548E1">
        <w:rPr>
          <w:rFonts w:eastAsiaTheme="minorHAnsi"/>
          <w:lang w:eastAsia="en-US"/>
        </w:rPr>
        <w:t xml:space="preserve">Sporazumom je HBOR ovlašten na provedbu i upravljanje s financijskim instrumentom, u svoje ime, a za račun i na rizik Republike Hrvatske. Financijski instrument provodi se izravnim odobrenjem kredita od strane HBOR-a u skladu s investicijskom politikom. Temeljem investicijske politike HBOR izrađuje plan povlačenja raspoloživih sredstava koja su osigurana u državnom proračunu. </w:t>
      </w:r>
    </w:p>
    <w:p w14:paraId="129BD912" w14:textId="77777777" w:rsidR="00332E7A" w:rsidRPr="009548E1" w:rsidRDefault="00332E7A" w:rsidP="00332E7A">
      <w:pPr>
        <w:jc w:val="both"/>
        <w:rPr>
          <w:rFonts w:eastAsiaTheme="minorHAnsi"/>
          <w:lang w:eastAsia="en-US"/>
        </w:rPr>
      </w:pPr>
    </w:p>
    <w:p w14:paraId="7FE34666" w14:textId="35D0E6E0" w:rsidR="00332E7A" w:rsidRPr="009548E1" w:rsidRDefault="00332E7A" w:rsidP="00332E7A">
      <w:pPr>
        <w:jc w:val="both"/>
        <w:rPr>
          <w:rFonts w:eastAsiaTheme="minorHAnsi"/>
          <w:lang w:eastAsia="en-US"/>
        </w:rPr>
      </w:pPr>
      <w:r w:rsidRPr="009548E1">
        <w:rPr>
          <w:rFonts w:eastAsiaTheme="minorHAnsi"/>
          <w:lang w:eastAsia="en-US"/>
        </w:rPr>
        <w:t xml:space="preserve">U 2023. godini Ministarstvo financija je sukladno spomenutim Sporazumima, a na temelju plana povlačenja i zahtjeva za plaćanje dostavljenog od strane HBOR-a isplatilo iznos od 6.636,140,00 eura na ime subvencija trgovačkim društvima u javnom sektoru, a iznos od 16.590.351,00 eura na ime danih zajmova trgovačkim društvima i zadrugama izvan javnog sektora. </w:t>
      </w:r>
    </w:p>
    <w:p w14:paraId="2A35DF84" w14:textId="77777777" w:rsidR="00332E7A" w:rsidRPr="009548E1" w:rsidRDefault="00332E7A" w:rsidP="00332E7A">
      <w:pPr>
        <w:jc w:val="both"/>
        <w:rPr>
          <w:rFonts w:eastAsiaTheme="minorHAnsi"/>
          <w:lang w:eastAsia="en-US"/>
        </w:rPr>
      </w:pPr>
    </w:p>
    <w:p w14:paraId="4D10C678" w14:textId="77777777" w:rsidR="00332E7A" w:rsidRPr="009548E1" w:rsidRDefault="00332E7A" w:rsidP="00332E7A">
      <w:pPr>
        <w:jc w:val="both"/>
        <w:rPr>
          <w:rFonts w:eastAsiaTheme="minorHAnsi"/>
          <w:lang w:eastAsia="en-US"/>
        </w:rPr>
      </w:pPr>
      <w:r w:rsidRPr="009548E1">
        <w:rPr>
          <w:rFonts w:eastAsiaTheme="minorHAnsi"/>
          <w:lang w:eastAsia="en-US"/>
        </w:rPr>
        <w:t>U skladu s Uputom Ministarstva financija (KLASA: 400-02/22-01/54 URBROJ:513-05-03-22-1) od 29. prosinca 2022. doznačavanje sredstava iz financijskih instrumenata krajnjim primateljima putem posrednika HBOR-a, evidentira se na osnovnim računima prema krajnjim primateljima, a ne kao da je dan zajam HBOR-u.</w:t>
      </w:r>
    </w:p>
    <w:p w14:paraId="179AB68C" w14:textId="77777777" w:rsidR="00332E7A" w:rsidRPr="009548E1" w:rsidRDefault="00332E7A" w:rsidP="00332E7A">
      <w:pPr>
        <w:jc w:val="both"/>
        <w:rPr>
          <w:rFonts w:eastAsiaTheme="minorHAnsi"/>
          <w:lang w:eastAsia="en-US"/>
        </w:rPr>
      </w:pPr>
    </w:p>
    <w:p w14:paraId="2559E13E" w14:textId="77777777" w:rsidR="00332E7A" w:rsidRPr="009548E1" w:rsidRDefault="00332E7A" w:rsidP="00332E7A">
      <w:pPr>
        <w:jc w:val="both"/>
        <w:rPr>
          <w:rFonts w:eastAsiaTheme="minorHAnsi"/>
          <w:lang w:eastAsia="en-US"/>
        </w:rPr>
      </w:pPr>
      <w:r w:rsidRPr="009548E1">
        <w:rPr>
          <w:rFonts w:eastAsiaTheme="minorHAnsi"/>
          <w:lang w:eastAsia="en-US"/>
        </w:rPr>
        <w:t>U okviru subvencija trgovačkim društvima i zadrugama izvan javnog sektora isplaćena su i sredstva iz državnog proračuna u Garantni fond za poslove osiguranja izvoza temeljem Uredbe o osiguranju izvoza („Narodne novine“, broj 53/20). Sredstva iz Garantnog fonda služe za isplatu odšteta, pokriće troškova sprječavanja nastanka štete i troškova regresne naplate, plaćanje obveza proizašlih iz preuzetih obveza po poslovima osiguranja izvoza i za pokriće ostalih troškova HBOR u provedbi osiguranja izvoza. Kako bi se osigurala dugoročna održivost provedbe poslova osiguranja izvoza, HBOR uvela je mjere i pokazatelje kojima se prati rizičnost i upravlja portfeljem izvoza na način da omjer Garantnog fonda i ukupne neto rizičnosti ne smije biti niži od 8%. U 2023. godini u Garantni fond uplaćeno je 14,6 milijuna eura.</w:t>
      </w:r>
    </w:p>
    <w:p w14:paraId="12C04B4F" w14:textId="77777777" w:rsidR="00332E7A" w:rsidRPr="009548E1" w:rsidRDefault="00332E7A" w:rsidP="003021C4">
      <w:pPr>
        <w:shd w:val="clear" w:color="auto" w:fill="FFFFFF"/>
        <w:jc w:val="both"/>
      </w:pPr>
    </w:p>
    <w:p w14:paraId="6172D9A5" w14:textId="0E148B1A" w:rsidR="003021C4" w:rsidRPr="009548E1" w:rsidRDefault="003021C4" w:rsidP="003021C4">
      <w:pPr>
        <w:shd w:val="clear" w:color="auto" w:fill="FFFFFF"/>
        <w:jc w:val="both"/>
      </w:pPr>
    </w:p>
    <w:p w14:paraId="751E4BA3" w14:textId="476F38D9" w:rsidR="003021C4" w:rsidRPr="009548E1" w:rsidRDefault="003021C4" w:rsidP="003021C4">
      <w:pPr>
        <w:pStyle w:val="Naslov"/>
        <w:keepNext/>
        <w:rPr>
          <w:b w:val="0"/>
          <w:bCs w:val="0"/>
        </w:rPr>
      </w:pPr>
      <w:r w:rsidRPr="009548E1">
        <w:rPr>
          <w:b w:val="0"/>
          <w:bCs w:val="0"/>
        </w:rPr>
        <w:t>Bilješka</w:t>
      </w:r>
      <w:r w:rsidR="002D2B2F">
        <w:rPr>
          <w:b w:val="0"/>
          <w:bCs w:val="0"/>
        </w:rPr>
        <w:t xml:space="preserve"> 26.</w:t>
      </w:r>
    </w:p>
    <w:p w14:paraId="23140860" w14:textId="482D7978" w:rsidR="003021C4" w:rsidRPr="009548E1" w:rsidRDefault="003021C4" w:rsidP="003021C4">
      <w:pPr>
        <w:pStyle w:val="Naslov"/>
        <w:keepNext/>
        <w:rPr>
          <w:b w:val="0"/>
          <w:bCs w:val="0"/>
        </w:rPr>
      </w:pPr>
      <w:r w:rsidRPr="009548E1">
        <w:rPr>
          <w:b w:val="0"/>
          <w:bCs w:val="0"/>
        </w:rPr>
        <w:t>Šifra 3521 Subvencije kreditnim i ostalim financijskim institucijama izvan javnog sektora</w:t>
      </w:r>
    </w:p>
    <w:p w14:paraId="45291719" w14:textId="414DC570" w:rsidR="003021C4" w:rsidRPr="009548E1" w:rsidRDefault="003021C4" w:rsidP="00F25B45">
      <w:pPr>
        <w:pStyle w:val="Naslov"/>
        <w:keepNext/>
        <w:jc w:val="both"/>
        <w:rPr>
          <w:b w:val="0"/>
          <w:sz w:val="24"/>
        </w:rPr>
      </w:pPr>
      <w:r w:rsidRPr="009548E1">
        <w:rPr>
          <w:b w:val="0"/>
          <w:sz w:val="24"/>
        </w:rPr>
        <w:t>U 2023. godini rashodi za subvencije</w:t>
      </w:r>
      <w:r w:rsidRPr="009548E1">
        <w:t xml:space="preserve"> </w:t>
      </w:r>
      <w:r w:rsidRPr="009548E1">
        <w:rPr>
          <w:b w:val="0"/>
          <w:sz w:val="24"/>
        </w:rPr>
        <w:t>kreditnim i ostalim financijskim institucijama izvan javnog sektora</w:t>
      </w:r>
      <w:r w:rsidR="00F25B45" w:rsidRPr="009548E1">
        <w:rPr>
          <w:b w:val="0"/>
          <w:sz w:val="24"/>
        </w:rPr>
        <w:t xml:space="preserve"> ostvareni su u iznosu od 8.345.298 eura i manji su za 66,7% u odnosu na evidentirane rashode u 2022. godini.</w:t>
      </w:r>
      <w:r w:rsidRPr="009548E1">
        <w:rPr>
          <w:b w:val="0"/>
          <w:sz w:val="24"/>
        </w:rPr>
        <w:t xml:space="preserve"> U 2022. godini za povlašteno financiranje po kreditnim programima HBOR-a isplaćene su subvencije kreditnim i ostalim financijskim institucijama izvan javnog sektora</w:t>
      </w:r>
      <w:r w:rsidR="00AC61C4">
        <w:rPr>
          <w:b w:val="0"/>
          <w:sz w:val="24"/>
        </w:rPr>
        <w:t xml:space="preserve"> u iznosu od </w:t>
      </w:r>
      <w:r w:rsidR="00F25B45" w:rsidRPr="009548E1">
        <w:rPr>
          <w:b w:val="0"/>
          <w:sz w:val="24"/>
        </w:rPr>
        <w:t>25.084.610,79</w:t>
      </w:r>
      <w:r w:rsidRPr="009548E1">
        <w:rPr>
          <w:b w:val="0"/>
          <w:sz w:val="24"/>
        </w:rPr>
        <w:t xml:space="preserve"> </w:t>
      </w:r>
      <w:r w:rsidR="00AC61C4">
        <w:rPr>
          <w:b w:val="0"/>
          <w:sz w:val="24"/>
        </w:rPr>
        <w:t>eura</w:t>
      </w:r>
      <w:r w:rsidR="00F25B45" w:rsidRPr="009548E1">
        <w:rPr>
          <w:b w:val="0"/>
          <w:sz w:val="24"/>
        </w:rPr>
        <w:t xml:space="preserve"> dok je u 2023. godini HBOR-u s navedene osnove isplaćeno 8.345.298 eura. Naime, t</w:t>
      </w:r>
      <w:r w:rsidRPr="009548E1">
        <w:rPr>
          <w:b w:val="0"/>
          <w:sz w:val="24"/>
        </w:rPr>
        <w:t xml:space="preserve">emeljem Ugovora o nalogu za obavljanje poslova povlaštenog financiranja po kreditnim programima HBOR-a, HBOR u ime i za račun Republike Hrvatske vodi Fond sredstava za povlašteno financiranje po kreditnim programima HBOR-a, namijenjen subvencioniranju kamatnih stopa kojim se iz sredstava državnog proračuna omogućava kreditiranje hrvatskog gospodarstva po nižim kamatnim stopama. </w:t>
      </w:r>
    </w:p>
    <w:p w14:paraId="3B583908" w14:textId="4290B010" w:rsidR="00F25B45" w:rsidRPr="009548E1" w:rsidRDefault="00F25B45" w:rsidP="00F25B45">
      <w:pPr>
        <w:pStyle w:val="Naslov"/>
        <w:keepNext/>
        <w:jc w:val="both"/>
        <w:rPr>
          <w:b w:val="0"/>
          <w:sz w:val="24"/>
        </w:rPr>
      </w:pPr>
    </w:p>
    <w:p w14:paraId="395F6165" w14:textId="53974AEA" w:rsidR="00CF08C8" w:rsidRPr="009548E1" w:rsidRDefault="00CF08C8" w:rsidP="00CF08C8">
      <w:pPr>
        <w:pStyle w:val="Naslov"/>
        <w:keepNext/>
        <w:rPr>
          <w:b w:val="0"/>
          <w:bCs w:val="0"/>
          <w:szCs w:val="28"/>
        </w:rPr>
      </w:pPr>
      <w:r w:rsidRPr="009548E1">
        <w:rPr>
          <w:b w:val="0"/>
          <w:bCs w:val="0"/>
          <w:szCs w:val="28"/>
        </w:rPr>
        <w:t>Bilješka</w:t>
      </w:r>
      <w:r w:rsidR="002D2B2F">
        <w:rPr>
          <w:b w:val="0"/>
          <w:bCs w:val="0"/>
          <w:szCs w:val="28"/>
        </w:rPr>
        <w:t xml:space="preserve"> 27.</w:t>
      </w:r>
    </w:p>
    <w:p w14:paraId="1B283962" w14:textId="77777777" w:rsidR="00CF08C8" w:rsidRPr="009548E1" w:rsidRDefault="00CF08C8" w:rsidP="00CF08C8">
      <w:pPr>
        <w:shd w:val="clear" w:color="auto" w:fill="FFFFFF"/>
        <w:jc w:val="center"/>
        <w:rPr>
          <w:color w:val="000000"/>
          <w:sz w:val="28"/>
          <w:szCs w:val="28"/>
        </w:rPr>
      </w:pPr>
      <w:r w:rsidRPr="009548E1">
        <w:rPr>
          <w:color w:val="000000"/>
          <w:sz w:val="28"/>
          <w:szCs w:val="28"/>
        </w:rPr>
        <w:t>Šifra 3621 Tekuće pomoći međunarodnim organizacijama te institucijama i tijelima EU</w:t>
      </w:r>
    </w:p>
    <w:p w14:paraId="712E2856" w14:textId="41B93786" w:rsidR="00CF08C8" w:rsidRPr="009548E1" w:rsidRDefault="00CF08C8" w:rsidP="00CF08C8">
      <w:pPr>
        <w:shd w:val="clear" w:color="auto" w:fill="FFFFFF"/>
        <w:jc w:val="both"/>
      </w:pPr>
      <w:r w:rsidRPr="009548E1">
        <w:t>Rashodi za tekuće pomoći međunarodnim organizacijama te institucijama i tijelima EU izvršeni su u 2023. u iznosu od 705.618.550,46 eura i za 12,7% su veći u odnosu na ostvarene rashode u 2022. godini, a odnose se na izdvajanja za doprinos Republike Hrvatske proračunu Europske unije na temelju tradicionalnih vlastitih sredstava.</w:t>
      </w:r>
    </w:p>
    <w:p w14:paraId="7C3ED5BB" w14:textId="1AA1FF3B" w:rsidR="000703AA" w:rsidRPr="009548E1" w:rsidRDefault="000703AA" w:rsidP="000703AA">
      <w:pPr>
        <w:pStyle w:val="Naslov"/>
        <w:keepNext/>
        <w:rPr>
          <w:b w:val="0"/>
          <w:bCs w:val="0"/>
        </w:rPr>
      </w:pPr>
      <w:r w:rsidRPr="009548E1">
        <w:rPr>
          <w:b w:val="0"/>
          <w:bCs w:val="0"/>
        </w:rPr>
        <w:t>Bilješka</w:t>
      </w:r>
      <w:r w:rsidR="002D2B2F">
        <w:rPr>
          <w:b w:val="0"/>
          <w:bCs w:val="0"/>
        </w:rPr>
        <w:t xml:space="preserve"> 28.</w:t>
      </w:r>
    </w:p>
    <w:p w14:paraId="119A64F7" w14:textId="77777777" w:rsidR="000703AA" w:rsidRPr="009548E1" w:rsidRDefault="000703AA" w:rsidP="000703AA">
      <w:pPr>
        <w:pStyle w:val="Naslov"/>
        <w:keepNext/>
        <w:rPr>
          <w:b w:val="0"/>
          <w:bCs w:val="0"/>
        </w:rPr>
      </w:pPr>
      <w:r w:rsidRPr="009548E1">
        <w:rPr>
          <w:b w:val="0"/>
          <w:bCs w:val="0"/>
        </w:rPr>
        <w:t xml:space="preserve">Šifra 3631 Tekuće pomoći unutar općeg proračuna </w:t>
      </w:r>
    </w:p>
    <w:p w14:paraId="6B201F49" w14:textId="1EF6B248" w:rsidR="000703AA" w:rsidRPr="009548E1" w:rsidRDefault="000703AA" w:rsidP="000703AA">
      <w:pPr>
        <w:jc w:val="both"/>
      </w:pPr>
      <w:r w:rsidRPr="009548E1">
        <w:t>Tekuće pomo</w:t>
      </w:r>
      <w:r w:rsidR="00B802AC">
        <w:t>ći unutar općeg proračuna u 2023</w:t>
      </w:r>
      <w:r w:rsidRPr="009548E1">
        <w:t xml:space="preserve">. godini ostvarene su u iznosu od </w:t>
      </w:r>
      <w:r w:rsidR="00B802AC">
        <w:t>307.369.084,89 eura</w:t>
      </w:r>
      <w:r w:rsidRPr="009548E1">
        <w:t>,</w:t>
      </w:r>
      <w:r w:rsidR="00AC61C4">
        <w:t xml:space="preserve"> što je povećanje od 13,7%</w:t>
      </w:r>
      <w:r w:rsidRPr="009548E1">
        <w:t xml:space="preserve"> u odnosu na ostvarenje od </w:t>
      </w:r>
      <w:r w:rsidR="00AC61C4">
        <w:t>270.262.559,56</w:t>
      </w:r>
      <w:r w:rsidR="00B802AC">
        <w:t xml:space="preserve"> eura u 2022</w:t>
      </w:r>
      <w:r w:rsidRPr="009548E1">
        <w:t xml:space="preserve">. godini. </w:t>
      </w:r>
    </w:p>
    <w:p w14:paraId="4A5D1F44" w14:textId="77777777" w:rsidR="000703AA" w:rsidRPr="009548E1" w:rsidRDefault="000703AA" w:rsidP="000703AA">
      <w:pPr>
        <w:pStyle w:val="StandardWeb"/>
        <w:shd w:val="clear" w:color="auto" w:fill="FFFFFF"/>
        <w:spacing w:before="0" w:beforeAutospacing="0" w:after="0" w:afterAutospacing="0"/>
        <w:jc w:val="both"/>
        <w:rPr>
          <w:color w:val="000000"/>
        </w:rPr>
      </w:pPr>
    </w:p>
    <w:p w14:paraId="71754D3D" w14:textId="77777777" w:rsidR="00B802AC" w:rsidRPr="00B802AC" w:rsidRDefault="00B802AC" w:rsidP="00B802AC">
      <w:pPr>
        <w:pStyle w:val="Naslov"/>
        <w:keepNext/>
        <w:jc w:val="both"/>
        <w:rPr>
          <w:b w:val="0"/>
          <w:bCs w:val="0"/>
          <w:color w:val="000000"/>
          <w:sz w:val="24"/>
        </w:rPr>
      </w:pPr>
      <w:r w:rsidRPr="00B802AC">
        <w:rPr>
          <w:b w:val="0"/>
          <w:bCs w:val="0"/>
          <w:color w:val="000000"/>
          <w:sz w:val="24"/>
        </w:rPr>
        <w:t>Temeljem odredaba Zakona o financiranju jedinica lokalne i područne (regionalne) samouprave (Narodne novine, br. 127/17, 138/20, 151/22 i 114/23), u Državnom proračunu Republike Hrvatske za 2023. godinu i projekcijama za 2024. i 2025. godinu (Narodne novine, br. 145/22, 63/23 i 129/23) osigurana su sredstva fiskalnog izravnanja za one jedinice lokalne i područne (regionalne) samouprave koje na to imaju pravo, a temeljem članka 33. Zakona o izvršavanju Državnog proračuna Republike Hrvatske za 2023. godinu (Narodne novine, br. 145/22, 63/23 i 129/23) jedinicama lokalne i područne (regionalne) samouprave je tijekom 2023. isplaćena pomoć, na ime fiskalnog izravnanja, u iznosu od 265.445.617,00 eura.</w:t>
      </w:r>
    </w:p>
    <w:p w14:paraId="3C211246" w14:textId="77777777" w:rsidR="00B802AC" w:rsidRPr="00B802AC" w:rsidRDefault="00B802AC" w:rsidP="00B802AC">
      <w:pPr>
        <w:pStyle w:val="Naslov"/>
        <w:keepNext/>
        <w:jc w:val="both"/>
        <w:rPr>
          <w:b w:val="0"/>
          <w:bCs w:val="0"/>
          <w:color w:val="000000"/>
          <w:sz w:val="24"/>
        </w:rPr>
      </w:pPr>
    </w:p>
    <w:p w14:paraId="5BC6DDAC" w14:textId="77777777" w:rsidR="00B802AC" w:rsidRPr="00B802AC" w:rsidRDefault="00B802AC" w:rsidP="00B802AC">
      <w:pPr>
        <w:pStyle w:val="Naslov"/>
        <w:keepNext/>
        <w:jc w:val="both"/>
        <w:rPr>
          <w:b w:val="0"/>
          <w:bCs w:val="0"/>
          <w:color w:val="000000"/>
          <w:sz w:val="24"/>
        </w:rPr>
      </w:pPr>
      <w:r w:rsidRPr="00B802AC">
        <w:rPr>
          <w:b w:val="0"/>
          <w:bCs w:val="0"/>
          <w:color w:val="000000"/>
          <w:sz w:val="24"/>
        </w:rPr>
        <w:t>Temeljem Zakona o izvršavanju Državnog proračuna Republike Hrvatske za 2023. godinu, jedinicama lokalne i područne (regionalne) samouprave koje su zbog pada broja stanovnika prema posljednjem popisu iz 2021. godine ostvarile manji iznos sredstava fiskalnog izravnanja za 2023. godinu, sukladno kriterijima iz članka 33.a navedenog Zakona, isplaćena je jednokratna pomoć u 2023. godini u iznosu od 1.504.750,34 eura.</w:t>
      </w:r>
    </w:p>
    <w:p w14:paraId="7732EBF1" w14:textId="77777777" w:rsidR="00B802AC" w:rsidRPr="00B802AC" w:rsidRDefault="00B802AC" w:rsidP="00B802AC">
      <w:pPr>
        <w:pStyle w:val="Naslov"/>
        <w:keepNext/>
        <w:jc w:val="both"/>
        <w:rPr>
          <w:b w:val="0"/>
          <w:bCs w:val="0"/>
          <w:color w:val="000000"/>
          <w:sz w:val="24"/>
        </w:rPr>
      </w:pPr>
      <w:r w:rsidRPr="00B802AC">
        <w:rPr>
          <w:b w:val="0"/>
          <w:bCs w:val="0"/>
          <w:color w:val="000000"/>
          <w:sz w:val="24"/>
        </w:rPr>
        <w:t xml:space="preserve"> </w:t>
      </w:r>
    </w:p>
    <w:p w14:paraId="7792824B" w14:textId="77777777" w:rsidR="00B802AC" w:rsidRPr="00B802AC" w:rsidRDefault="00B802AC" w:rsidP="00B802AC">
      <w:pPr>
        <w:pStyle w:val="Naslov"/>
        <w:keepNext/>
        <w:jc w:val="both"/>
        <w:rPr>
          <w:b w:val="0"/>
          <w:bCs w:val="0"/>
          <w:color w:val="000000"/>
          <w:sz w:val="24"/>
        </w:rPr>
      </w:pPr>
      <w:r w:rsidRPr="00B802AC">
        <w:rPr>
          <w:b w:val="0"/>
          <w:bCs w:val="0"/>
          <w:color w:val="000000"/>
          <w:sz w:val="24"/>
        </w:rPr>
        <w:t>Sukladno članku 34. Zakona o izvršavanju Državnog proračuna Republike Hrvatske za 2023. godinu, u Državnom proračunu Republike Hrvatske za 2023. godinu i projekcijama za 2024. i 2025. godinu osigurana su sredstva pomoći na ime poticaja za dobrovoljno funkcionalno odnosno stvarno spajanje jedinica lokalne samouprave. Za ovu namjenu, jedinicama lokalne samouprave tijekom 2023. isplaćena je pomoć u iznosu od 2.955.622,67 eura.</w:t>
      </w:r>
    </w:p>
    <w:p w14:paraId="4A9D804A" w14:textId="77777777" w:rsidR="00B802AC" w:rsidRPr="00B802AC" w:rsidRDefault="00B802AC" w:rsidP="00B802AC">
      <w:pPr>
        <w:pStyle w:val="Naslov"/>
        <w:keepNext/>
        <w:jc w:val="both"/>
        <w:rPr>
          <w:b w:val="0"/>
          <w:bCs w:val="0"/>
          <w:color w:val="000000"/>
          <w:sz w:val="24"/>
        </w:rPr>
      </w:pPr>
      <w:r w:rsidRPr="00B802AC">
        <w:rPr>
          <w:b w:val="0"/>
          <w:bCs w:val="0"/>
          <w:color w:val="000000"/>
          <w:sz w:val="24"/>
        </w:rPr>
        <w:t xml:space="preserve"> </w:t>
      </w:r>
    </w:p>
    <w:p w14:paraId="7F670E20" w14:textId="0D58839C" w:rsidR="000703AA" w:rsidRDefault="00B802AC" w:rsidP="00B802AC">
      <w:pPr>
        <w:pStyle w:val="Naslov"/>
        <w:keepNext/>
        <w:jc w:val="both"/>
        <w:rPr>
          <w:b w:val="0"/>
          <w:bCs w:val="0"/>
          <w:color w:val="000000"/>
          <w:sz w:val="24"/>
        </w:rPr>
      </w:pPr>
      <w:r w:rsidRPr="00B802AC">
        <w:rPr>
          <w:b w:val="0"/>
          <w:bCs w:val="0"/>
          <w:color w:val="000000"/>
          <w:sz w:val="24"/>
        </w:rPr>
        <w:t>Slijedom navedenoga, jedinicama lokalne i područne (regionalne) samouprave je u 2023. iz državnog proračuna (T767074 Jednokratna pomoć jedinicama lokalne i područne (regionalne) samouprave, A818069 Fiskalno izravnanje jedinica lokalne i područne (regionalne) samouprave i A767071 Poticaji za dobrovoljno funkcionalno ili stvarno spajanje jedinica lokalne samouprave) isplaćena pomoć u ukupnom iznosu od 269.905.990,01 eura.</w:t>
      </w:r>
    </w:p>
    <w:p w14:paraId="17BDBA5C" w14:textId="15946AD3" w:rsidR="00522DFC" w:rsidRDefault="00522DFC" w:rsidP="00B802AC">
      <w:pPr>
        <w:pStyle w:val="Naslov"/>
        <w:keepNext/>
        <w:jc w:val="both"/>
        <w:rPr>
          <w:b w:val="0"/>
          <w:sz w:val="24"/>
        </w:rPr>
      </w:pPr>
    </w:p>
    <w:p w14:paraId="539D9216" w14:textId="5BDDEC66" w:rsidR="00921FBF" w:rsidRPr="00921FBF" w:rsidRDefault="00921FBF" w:rsidP="00921FBF">
      <w:pPr>
        <w:pStyle w:val="Naslov"/>
        <w:keepNext/>
        <w:jc w:val="both"/>
        <w:rPr>
          <w:b w:val="0"/>
          <w:sz w:val="24"/>
        </w:rPr>
      </w:pPr>
      <w:r>
        <w:rPr>
          <w:b w:val="0"/>
          <w:sz w:val="24"/>
        </w:rPr>
        <w:t>Na povećanje rashoda u 2023. je utjecalo i Rješenje Vlade</w:t>
      </w:r>
      <w:r w:rsidRPr="00921FBF">
        <w:rPr>
          <w:b w:val="0"/>
          <w:sz w:val="24"/>
        </w:rPr>
        <w:t xml:space="preserve"> Republike Hrvatske</w:t>
      </w:r>
      <w:r>
        <w:rPr>
          <w:b w:val="0"/>
          <w:sz w:val="24"/>
        </w:rPr>
        <w:t xml:space="preserve"> koja</w:t>
      </w:r>
      <w:r w:rsidRPr="00921FBF">
        <w:rPr>
          <w:b w:val="0"/>
          <w:sz w:val="24"/>
        </w:rPr>
        <w:t xml:space="preserve"> je na sjednici održanoj 27. srpnja 2023. godine donijela Rješenje o odobrenju sredstava na teret Proračunske zalihe Državnog proračuna Republike Hrvatske za 2023. godinu (KLASA: 400-06/23-02/03, URBROJ: 50301-05/27-23-2; dalje u tekstu: Rješenje) u iznosu od 20.000.000,00 eura za hitnu sanaciju štete na stambenim objektima nužnima za život, nastale uslijed jakog olujnog nevremena od 19. do 21. srpnja 2023. godine u Brodsko-posavskoj, Karlovačkoj, Krapinsko-zagorskoj, Osječko-baranjskoj, Požeško-slavonskoj, Sisačko-moslavačkoj, Vukovarsko-srijemskoj i Zagrebačkoj županiji.</w:t>
      </w:r>
    </w:p>
    <w:p w14:paraId="5EFA28A3" w14:textId="77777777" w:rsidR="00921FBF" w:rsidRPr="00921FBF" w:rsidRDefault="00921FBF" w:rsidP="00921FBF">
      <w:pPr>
        <w:pStyle w:val="Naslov"/>
        <w:keepNext/>
        <w:jc w:val="both"/>
        <w:rPr>
          <w:b w:val="0"/>
          <w:sz w:val="24"/>
        </w:rPr>
      </w:pPr>
    </w:p>
    <w:p w14:paraId="79D2D207" w14:textId="06A7F38F" w:rsidR="00921FBF" w:rsidRDefault="00921FBF" w:rsidP="00921FBF">
      <w:pPr>
        <w:pStyle w:val="Naslov"/>
        <w:keepNext/>
        <w:jc w:val="both"/>
        <w:rPr>
          <w:b w:val="0"/>
          <w:sz w:val="24"/>
        </w:rPr>
      </w:pPr>
      <w:r w:rsidRPr="00921FBF">
        <w:rPr>
          <w:b w:val="0"/>
          <w:sz w:val="24"/>
        </w:rPr>
        <w:t>Županijama, kao primateljima sredstava, iz državnog proračuna su temeljem Rješenja isplaćena dodijeljena novčana sredstva</w:t>
      </w:r>
      <w:r>
        <w:rPr>
          <w:b w:val="0"/>
          <w:sz w:val="24"/>
        </w:rPr>
        <w:t xml:space="preserve"> u iznosu od</w:t>
      </w:r>
      <w:r w:rsidRPr="00921FBF">
        <w:t xml:space="preserve"> </w:t>
      </w:r>
      <w:r w:rsidRPr="00921FBF">
        <w:rPr>
          <w:b w:val="0"/>
          <w:sz w:val="24"/>
        </w:rPr>
        <w:t>19.776.723,56</w:t>
      </w:r>
      <w:r>
        <w:rPr>
          <w:b w:val="0"/>
          <w:sz w:val="24"/>
        </w:rPr>
        <w:t xml:space="preserve"> eura</w:t>
      </w:r>
      <w:r w:rsidRPr="00921FBF">
        <w:rPr>
          <w:b w:val="0"/>
          <w:sz w:val="24"/>
        </w:rPr>
        <w:t xml:space="preserve"> temeljem kriterija za raspodjelu sredstava stradalim jedinicama lokalne samouprave</w:t>
      </w:r>
      <w:r>
        <w:rPr>
          <w:b w:val="0"/>
          <w:sz w:val="24"/>
        </w:rPr>
        <w:t>.</w:t>
      </w:r>
    </w:p>
    <w:p w14:paraId="743763ED" w14:textId="0C017708" w:rsidR="00921FBF" w:rsidRDefault="00921FBF" w:rsidP="00921FBF">
      <w:pPr>
        <w:pStyle w:val="Naslov"/>
        <w:keepNext/>
        <w:jc w:val="both"/>
        <w:rPr>
          <w:b w:val="0"/>
          <w:sz w:val="24"/>
        </w:rPr>
      </w:pPr>
    </w:p>
    <w:p w14:paraId="2F40322B" w14:textId="16FC0B12" w:rsidR="00921FBF" w:rsidRPr="009548E1" w:rsidRDefault="00921FBF" w:rsidP="00921FBF">
      <w:pPr>
        <w:pStyle w:val="Naslov"/>
        <w:keepNext/>
        <w:jc w:val="both"/>
        <w:rPr>
          <w:b w:val="0"/>
          <w:sz w:val="24"/>
        </w:rPr>
      </w:pPr>
      <w:r>
        <w:rPr>
          <w:b w:val="0"/>
          <w:sz w:val="24"/>
        </w:rPr>
        <w:t xml:space="preserve">Također, </w:t>
      </w:r>
      <w:r w:rsidRPr="00921FBF">
        <w:rPr>
          <w:b w:val="0"/>
          <w:sz w:val="24"/>
        </w:rPr>
        <w:t>Brodsko-posavskoj i Sisačko-moslavačkoj županiji za sanaciju štete na stambenim objektima nužnima za život, nastale uslijed jakog olujnog nevremena od 19. i 21. srpnja 2023. godine</w:t>
      </w:r>
      <w:r w:rsidR="003F3A9D">
        <w:rPr>
          <w:b w:val="0"/>
          <w:sz w:val="24"/>
        </w:rPr>
        <w:t xml:space="preserve"> 28. prosinca 2023. godine</w:t>
      </w:r>
      <w:r w:rsidR="003F3A9D" w:rsidRPr="003F3A9D">
        <w:t xml:space="preserve"> </w:t>
      </w:r>
      <w:r w:rsidR="003F3A9D">
        <w:rPr>
          <w:b w:val="0"/>
          <w:sz w:val="24"/>
        </w:rPr>
        <w:t>isplaćena su sredstva</w:t>
      </w:r>
      <w:r w:rsidR="003F3A9D" w:rsidRPr="003F3A9D">
        <w:rPr>
          <w:b w:val="0"/>
          <w:sz w:val="24"/>
        </w:rPr>
        <w:t xml:space="preserve"> za sanaciju šteta </w:t>
      </w:r>
      <w:r w:rsidR="003F3A9D">
        <w:rPr>
          <w:b w:val="0"/>
          <w:sz w:val="24"/>
        </w:rPr>
        <w:t xml:space="preserve">u iznosu od </w:t>
      </w:r>
      <w:r w:rsidR="003F3A9D" w:rsidRPr="003F3A9D">
        <w:rPr>
          <w:b w:val="0"/>
          <w:sz w:val="24"/>
        </w:rPr>
        <w:t>4.685.888,00</w:t>
      </w:r>
      <w:r w:rsidR="003F3A9D">
        <w:rPr>
          <w:b w:val="0"/>
          <w:sz w:val="24"/>
        </w:rPr>
        <w:t xml:space="preserve"> eura.</w:t>
      </w:r>
    </w:p>
    <w:p w14:paraId="3A2B5C09" w14:textId="77777777" w:rsidR="000703AA" w:rsidRPr="009548E1" w:rsidRDefault="000703AA" w:rsidP="00F25B45">
      <w:pPr>
        <w:pStyle w:val="Naslov"/>
        <w:keepNext/>
        <w:jc w:val="both"/>
        <w:rPr>
          <w:b w:val="0"/>
          <w:sz w:val="24"/>
        </w:rPr>
      </w:pPr>
    </w:p>
    <w:p w14:paraId="52382EA8" w14:textId="29A3FBF5" w:rsidR="000703AA" w:rsidRPr="009548E1" w:rsidRDefault="000703AA" w:rsidP="000703AA">
      <w:pPr>
        <w:pStyle w:val="Naslov"/>
        <w:keepNext/>
        <w:rPr>
          <w:b w:val="0"/>
          <w:bCs w:val="0"/>
        </w:rPr>
      </w:pPr>
      <w:r w:rsidRPr="009548E1">
        <w:rPr>
          <w:b w:val="0"/>
          <w:bCs w:val="0"/>
        </w:rPr>
        <w:t>Bilješka</w:t>
      </w:r>
      <w:r w:rsidR="002D2B2F">
        <w:rPr>
          <w:b w:val="0"/>
          <w:bCs w:val="0"/>
        </w:rPr>
        <w:t xml:space="preserve"> 29.</w:t>
      </w:r>
    </w:p>
    <w:p w14:paraId="7941CE2B" w14:textId="4AABCAE8" w:rsidR="000703AA" w:rsidRPr="009548E1" w:rsidRDefault="000703AA" w:rsidP="000703AA">
      <w:pPr>
        <w:pStyle w:val="Naslov"/>
        <w:keepNext/>
        <w:rPr>
          <w:b w:val="0"/>
          <w:bCs w:val="0"/>
        </w:rPr>
      </w:pPr>
      <w:r w:rsidRPr="009548E1">
        <w:rPr>
          <w:b w:val="0"/>
          <w:bCs w:val="0"/>
        </w:rPr>
        <w:t>Šifra 3632 Kapitalne pomoći unutar općeg proračuna</w:t>
      </w:r>
    </w:p>
    <w:p w14:paraId="70525948" w14:textId="217A06CD" w:rsidR="008D0D63" w:rsidRPr="009548E1" w:rsidRDefault="000703AA" w:rsidP="008D0D63">
      <w:pPr>
        <w:shd w:val="clear" w:color="auto" w:fill="FFFFFF"/>
        <w:jc w:val="both"/>
        <w:rPr>
          <w:color w:val="000000"/>
        </w:rPr>
      </w:pPr>
      <w:r w:rsidRPr="009548E1">
        <w:rPr>
          <w:color w:val="000000"/>
        </w:rPr>
        <w:t xml:space="preserve">U 2023. godini nije bilo realiziranih rashoda za kapitalne pomoći unutar općeg proračuna u odnosu na 9.062.881,28 eura realiziranih u 2022. godini. Navedeni rashodi </w:t>
      </w:r>
      <w:r w:rsidR="008D0D63" w:rsidRPr="009548E1">
        <w:rPr>
          <w:color w:val="000000"/>
        </w:rPr>
        <w:t>u 2022. godini odnosili su</w:t>
      </w:r>
      <w:r w:rsidRPr="009548E1">
        <w:rPr>
          <w:color w:val="000000"/>
        </w:rPr>
        <w:t xml:space="preserve"> se na rashode za sanacije šteta prirodnih nepogoda koje su pogodile neke od županija i gradova</w:t>
      </w:r>
      <w:r w:rsidR="008D0D63" w:rsidRPr="009548E1">
        <w:rPr>
          <w:color w:val="000000"/>
        </w:rPr>
        <w:t xml:space="preserve"> u 2022. godini</w:t>
      </w:r>
      <w:r w:rsidRPr="009548E1">
        <w:rPr>
          <w:color w:val="000000"/>
        </w:rPr>
        <w:t xml:space="preserve">. Ukupan iznos doznačen po Rješenjima Vlade Republike Hrvatske županijama i gradovima iznosio je </w:t>
      </w:r>
      <w:r w:rsidR="00AC61C4">
        <w:rPr>
          <w:color w:val="000000"/>
        </w:rPr>
        <w:t>9.062.881,28 eura.</w:t>
      </w:r>
    </w:p>
    <w:p w14:paraId="26A17A02" w14:textId="77777777" w:rsidR="008D0D63" w:rsidRPr="009548E1" w:rsidRDefault="008D0D63" w:rsidP="008D0D63">
      <w:pPr>
        <w:shd w:val="clear" w:color="auto" w:fill="FFFFFF"/>
        <w:jc w:val="both"/>
        <w:rPr>
          <w:color w:val="000000"/>
        </w:rPr>
      </w:pPr>
    </w:p>
    <w:p w14:paraId="1303026D" w14:textId="3BB84884" w:rsidR="008D0D63" w:rsidRPr="009548E1" w:rsidRDefault="008D0D63" w:rsidP="008D0D63">
      <w:pPr>
        <w:pStyle w:val="Naslov"/>
        <w:keepNext/>
        <w:rPr>
          <w:b w:val="0"/>
          <w:bCs w:val="0"/>
        </w:rPr>
      </w:pPr>
      <w:r w:rsidRPr="009548E1">
        <w:rPr>
          <w:b w:val="0"/>
          <w:bCs w:val="0"/>
        </w:rPr>
        <w:t>Bilješka</w:t>
      </w:r>
      <w:r w:rsidR="002D2B2F">
        <w:rPr>
          <w:b w:val="0"/>
          <w:bCs w:val="0"/>
        </w:rPr>
        <w:t xml:space="preserve"> 30.</w:t>
      </w:r>
    </w:p>
    <w:p w14:paraId="07D32343" w14:textId="77777777" w:rsidR="008D0D63" w:rsidRPr="009548E1" w:rsidRDefault="008D0D63" w:rsidP="008D0D63">
      <w:pPr>
        <w:pStyle w:val="Naslov"/>
        <w:keepNext/>
        <w:rPr>
          <w:b w:val="0"/>
          <w:bCs w:val="0"/>
        </w:rPr>
      </w:pPr>
      <w:r w:rsidRPr="009548E1">
        <w:rPr>
          <w:b w:val="0"/>
          <w:bCs w:val="0"/>
        </w:rPr>
        <w:t>Šifra 3635 Pomoći unutar općeg proračuna po protestiranim jamstvima</w:t>
      </w:r>
    </w:p>
    <w:p w14:paraId="49FC739E" w14:textId="2273CBD7" w:rsidR="008D0D63" w:rsidRPr="009548E1" w:rsidRDefault="008D0D63" w:rsidP="008D0D63">
      <w:pPr>
        <w:jc w:val="both"/>
        <w:rPr>
          <w:color w:val="000000"/>
        </w:rPr>
      </w:pPr>
      <w:r w:rsidRPr="009548E1">
        <w:rPr>
          <w:color w:val="000000"/>
        </w:rPr>
        <w:t>Ostvareni rashodi u 2023. godini za pomoći unutar općeg proračuna po protestiranim jamstvima iznose 20.373.595,81 eura i veći su u odnosu na ostvarene rashode s navedene osnove u istom razdoblju 2022. godine za 101,9%, a odnose se na plaćanja po izdanim i protestiranim jamstvima danima društvu HŽ Infrastruktura d.o.o.</w:t>
      </w:r>
    </w:p>
    <w:p w14:paraId="69C82A8D" w14:textId="282AB93F" w:rsidR="008D0D63" w:rsidRPr="009548E1" w:rsidRDefault="008D0D63" w:rsidP="008D0D63">
      <w:pPr>
        <w:shd w:val="clear" w:color="auto" w:fill="FFFFFF"/>
        <w:jc w:val="both"/>
        <w:rPr>
          <w:color w:val="000000"/>
        </w:rPr>
      </w:pPr>
    </w:p>
    <w:p w14:paraId="525F622E" w14:textId="36723C4D" w:rsidR="008D0D63" w:rsidRPr="009548E1" w:rsidRDefault="008D0D63" w:rsidP="008D0D63">
      <w:pPr>
        <w:jc w:val="both"/>
        <w:rPr>
          <w:color w:val="000000"/>
        </w:rPr>
      </w:pPr>
      <w:r w:rsidRPr="009548E1">
        <w:rPr>
          <w:color w:val="000000"/>
        </w:rPr>
        <w:t>Plaćanja po izdanim i protestiranim jamstvima danima društvu HŽ Infrastruktura d.o.o. u 2022. godini realizirana su u iznosu od 10.088.448,55 eura.</w:t>
      </w:r>
    </w:p>
    <w:p w14:paraId="57802D7D" w14:textId="6B5DF43E" w:rsidR="008D0D63" w:rsidRPr="009548E1" w:rsidRDefault="008D0D63" w:rsidP="008D0D63">
      <w:pPr>
        <w:jc w:val="both"/>
        <w:rPr>
          <w:color w:val="000000"/>
        </w:rPr>
      </w:pPr>
    </w:p>
    <w:p w14:paraId="0E6FD494" w14:textId="733AF486" w:rsidR="008D0D63" w:rsidRPr="009548E1" w:rsidRDefault="008D0D63" w:rsidP="008D0D63">
      <w:pPr>
        <w:jc w:val="both"/>
        <w:rPr>
          <w:color w:val="000000"/>
        </w:rPr>
      </w:pPr>
    </w:p>
    <w:p w14:paraId="211DDB60" w14:textId="1107ACC8" w:rsidR="008D0D63" w:rsidRPr="009548E1" w:rsidRDefault="008D0D63" w:rsidP="008D0D63">
      <w:pPr>
        <w:pStyle w:val="Naslov"/>
        <w:keepNext/>
        <w:rPr>
          <w:b w:val="0"/>
          <w:bCs w:val="0"/>
        </w:rPr>
      </w:pPr>
      <w:r w:rsidRPr="009548E1">
        <w:rPr>
          <w:b w:val="0"/>
          <w:bCs w:val="0"/>
        </w:rPr>
        <w:t>Bilješka</w:t>
      </w:r>
      <w:r w:rsidR="002D2B2F">
        <w:rPr>
          <w:b w:val="0"/>
          <w:bCs w:val="0"/>
        </w:rPr>
        <w:t xml:space="preserve"> 31.</w:t>
      </w:r>
    </w:p>
    <w:p w14:paraId="37C3B2D0" w14:textId="789283E9" w:rsidR="008D0D63" w:rsidRPr="009548E1" w:rsidRDefault="008D0D63" w:rsidP="00D654A7">
      <w:pPr>
        <w:pStyle w:val="Naslov"/>
        <w:keepNext/>
        <w:rPr>
          <w:b w:val="0"/>
          <w:bCs w:val="0"/>
        </w:rPr>
      </w:pPr>
      <w:r w:rsidRPr="009548E1">
        <w:rPr>
          <w:b w:val="0"/>
          <w:bCs w:val="0"/>
        </w:rPr>
        <w:t>Šifra 3674 Prijenosi proračunskim korisnicima iz nadležnog proračuna za financijsku imovinu i otplatu zajmova</w:t>
      </w:r>
    </w:p>
    <w:p w14:paraId="3680EBEB" w14:textId="60F7ECDA" w:rsidR="003327D4" w:rsidRPr="009548E1" w:rsidRDefault="00D902C6" w:rsidP="00D902C6">
      <w:pPr>
        <w:pStyle w:val="Naslov"/>
        <w:keepNext/>
        <w:jc w:val="both"/>
        <w:rPr>
          <w:b w:val="0"/>
          <w:bCs w:val="0"/>
          <w:sz w:val="24"/>
        </w:rPr>
      </w:pPr>
      <w:r w:rsidRPr="009548E1">
        <w:rPr>
          <w:b w:val="0"/>
          <w:bCs w:val="0"/>
          <w:sz w:val="24"/>
        </w:rPr>
        <w:t xml:space="preserve">Rashodi za redovnu djelatnost proračunskih korisnika koji se financiraju iz proračuna </w:t>
      </w:r>
      <w:r w:rsidR="00AC61C4">
        <w:rPr>
          <w:b w:val="0"/>
          <w:bCs w:val="0"/>
          <w:sz w:val="24"/>
        </w:rPr>
        <w:t>iskazuju</w:t>
      </w:r>
      <w:r w:rsidRPr="009548E1">
        <w:rPr>
          <w:b w:val="0"/>
          <w:bCs w:val="0"/>
          <w:sz w:val="24"/>
        </w:rPr>
        <w:t xml:space="preserve"> se u okviru podskupine 367</w:t>
      </w:r>
      <w:r w:rsidRPr="009548E1">
        <w:t xml:space="preserve"> </w:t>
      </w:r>
      <w:r w:rsidRPr="009548E1">
        <w:rPr>
          <w:b w:val="0"/>
          <w:bCs w:val="0"/>
          <w:sz w:val="24"/>
        </w:rPr>
        <w:t xml:space="preserve">Prijenosi proračunskim korisnicima iz nadležnog proračuna za financiranje redovne djelatnosti. </w:t>
      </w:r>
      <w:r w:rsidR="00D654A7" w:rsidRPr="009548E1">
        <w:rPr>
          <w:b w:val="0"/>
          <w:bCs w:val="0"/>
          <w:sz w:val="24"/>
        </w:rPr>
        <w:t>Ostvareni rashodi u 2023. godini za</w:t>
      </w:r>
      <w:r w:rsidR="003327D4" w:rsidRPr="009548E1">
        <w:t xml:space="preserve"> </w:t>
      </w:r>
      <w:r w:rsidR="003327D4" w:rsidRPr="009548E1">
        <w:rPr>
          <w:b w:val="0"/>
          <w:bCs w:val="0"/>
          <w:sz w:val="24"/>
        </w:rPr>
        <w:t xml:space="preserve">prijenose proračunskim korisnicima iz nadležnog proračuna za financijsku imovinu i otplatu zajmova ostvareni su u iznosu od 438.596.559,59 eura </w:t>
      </w:r>
      <w:r w:rsidRPr="009548E1">
        <w:rPr>
          <w:b w:val="0"/>
          <w:bCs w:val="0"/>
          <w:sz w:val="24"/>
        </w:rPr>
        <w:t>i za 380,5% su veći u odnosu na realizirane rashode u 2022. godini. Razlog navedenog povećanja je prijenos Ministarstvu gospodarstva i održivog razvoja za dioničarski zajam društvu HEP d.d. u iznosu od 400.000.000,00 eura s ciljem osiguranja nužne stabilizacije poslovanja zbog pretrpljenih gubitaka proizašlih iz provođenja odredbi iz paketa mjera Vlade Republike Hrvatske, s posebnim naglaskom na primjenu Uredbe o otklanjanju poremećaja na domaćem tržištu energije, donesenih radi pomoći građanima i ostalim ugroženim kupcima energije. Zajam je u 2023. isplaćen u dvije tranše u iznosu od 265 milijuna eura te u iznosu od 135 milijuna eura.</w:t>
      </w:r>
    </w:p>
    <w:p w14:paraId="63C4EC77" w14:textId="77777777" w:rsidR="003757EA" w:rsidRPr="009548E1" w:rsidRDefault="003757EA" w:rsidP="003757EA">
      <w:pPr>
        <w:pStyle w:val="Naslov"/>
        <w:keepNext/>
        <w:rPr>
          <w:b w:val="0"/>
          <w:bCs w:val="0"/>
        </w:rPr>
      </w:pPr>
    </w:p>
    <w:p w14:paraId="5F09E1E5" w14:textId="46409D7B" w:rsidR="003327D4" w:rsidRPr="009548E1" w:rsidRDefault="003757EA" w:rsidP="003327D4">
      <w:pPr>
        <w:pStyle w:val="Naslov"/>
        <w:keepNext/>
        <w:rPr>
          <w:b w:val="0"/>
          <w:bCs w:val="0"/>
        </w:rPr>
      </w:pPr>
      <w:r w:rsidRPr="009548E1">
        <w:rPr>
          <w:b w:val="0"/>
          <w:bCs w:val="0"/>
        </w:rPr>
        <w:t>Bilješka</w:t>
      </w:r>
      <w:r w:rsidR="002D2B2F">
        <w:rPr>
          <w:b w:val="0"/>
          <w:bCs w:val="0"/>
        </w:rPr>
        <w:t xml:space="preserve"> 32.</w:t>
      </w:r>
    </w:p>
    <w:p w14:paraId="2200CD72" w14:textId="77777777" w:rsidR="003757EA" w:rsidRPr="009548E1" w:rsidRDefault="003757EA" w:rsidP="003757EA">
      <w:pPr>
        <w:jc w:val="center"/>
        <w:rPr>
          <w:sz w:val="28"/>
          <w:szCs w:val="28"/>
        </w:rPr>
      </w:pPr>
      <w:r w:rsidRPr="009548E1">
        <w:rPr>
          <w:sz w:val="28"/>
          <w:szCs w:val="28"/>
        </w:rPr>
        <w:t>Šifra 3721 Naknade građanima i kućanstvima u novcu</w:t>
      </w:r>
    </w:p>
    <w:p w14:paraId="13D65C45" w14:textId="069D5DB2" w:rsidR="003757EA" w:rsidRPr="009548E1" w:rsidRDefault="003757EA" w:rsidP="003757EA">
      <w:pPr>
        <w:jc w:val="both"/>
      </w:pPr>
      <w:r w:rsidRPr="009548E1">
        <w:t>Rashodi za naknade građanima i kućanstvima u novcu ostvareni su u 2023. godin</w:t>
      </w:r>
      <w:r w:rsidR="000B3D83">
        <w:t>i u iznosu od 13</w:t>
      </w:r>
      <w:r w:rsidRPr="009548E1">
        <w:t>.602.132,51 eura, dok su u istom razdoblju prethodne godine ostvareni u iznosu od 12.565.708,63 eura. Ovi rashodi odnose se na državna poticajna sredstva za stambenu štednju sukladno Zakonu o stambenoj štednji i državnom poticanju stambene štednje (Narodne novine, broj 109/97, 117/97, 76/99, 10/01, 92/05, 21/10, 15/13, 139/13, 151/14 i 110/15).</w:t>
      </w:r>
    </w:p>
    <w:p w14:paraId="1486112B" w14:textId="2C8FA87E" w:rsidR="003757EA" w:rsidRPr="009548E1" w:rsidRDefault="003757EA" w:rsidP="003757EA">
      <w:pPr>
        <w:pStyle w:val="Naslov"/>
        <w:keepNext/>
        <w:rPr>
          <w:b w:val="0"/>
          <w:bCs w:val="0"/>
        </w:rPr>
      </w:pPr>
      <w:r w:rsidRPr="009548E1">
        <w:rPr>
          <w:b w:val="0"/>
          <w:bCs w:val="0"/>
        </w:rPr>
        <w:t>Bilješka</w:t>
      </w:r>
      <w:r w:rsidR="002D2B2F">
        <w:rPr>
          <w:b w:val="0"/>
          <w:bCs w:val="0"/>
        </w:rPr>
        <w:t xml:space="preserve"> 33.</w:t>
      </w:r>
    </w:p>
    <w:p w14:paraId="0A558D0B" w14:textId="3ECE89B7" w:rsidR="003757EA" w:rsidRPr="009548E1" w:rsidRDefault="003757EA" w:rsidP="003757EA">
      <w:pPr>
        <w:pStyle w:val="Naslov"/>
        <w:keepNext/>
        <w:rPr>
          <w:color w:val="000000"/>
        </w:rPr>
      </w:pPr>
      <w:r w:rsidRPr="009548E1">
        <w:rPr>
          <w:b w:val="0"/>
          <w:bCs w:val="0"/>
        </w:rPr>
        <w:t>Šifra 3865 Kapitalne pomoći trgovačkim društvima i obrtnicima po protestiranim jamstvima</w:t>
      </w:r>
    </w:p>
    <w:p w14:paraId="0F109998" w14:textId="5807F899" w:rsidR="003757EA" w:rsidRPr="009548E1" w:rsidRDefault="003757EA" w:rsidP="003757EA">
      <w:pPr>
        <w:shd w:val="clear" w:color="auto" w:fill="FFFFFF"/>
        <w:jc w:val="both"/>
        <w:rPr>
          <w:color w:val="000000"/>
        </w:rPr>
      </w:pPr>
      <w:r w:rsidRPr="009548E1">
        <w:rPr>
          <w:color w:val="000000"/>
        </w:rPr>
        <w:t xml:space="preserve">Rashodi za kapitalne pomoći trgovačkim društvima i obrtnicima po protestiranim jamstvima u </w:t>
      </w:r>
      <w:r w:rsidR="000B3D83">
        <w:rPr>
          <w:color w:val="000000"/>
        </w:rPr>
        <w:t>2023. godini</w:t>
      </w:r>
      <w:r w:rsidRPr="009548E1">
        <w:rPr>
          <w:color w:val="000000"/>
        </w:rPr>
        <w:t xml:space="preserve"> </w:t>
      </w:r>
      <w:r w:rsidR="000B3D83">
        <w:rPr>
          <w:color w:val="000000"/>
        </w:rPr>
        <w:t>ostvareni</w:t>
      </w:r>
      <w:r w:rsidRPr="009548E1">
        <w:rPr>
          <w:color w:val="000000"/>
        </w:rPr>
        <w:t xml:space="preserve"> su u iznosu od 825.468,55 eura odnosno manji su za 99% u odnosu na isto razdoblje 2022. godine. </w:t>
      </w:r>
    </w:p>
    <w:p w14:paraId="0AE11159" w14:textId="77777777" w:rsidR="003757EA" w:rsidRPr="009548E1" w:rsidRDefault="003757EA" w:rsidP="003757EA">
      <w:pPr>
        <w:shd w:val="clear" w:color="auto" w:fill="FFFFFF"/>
        <w:jc w:val="both"/>
        <w:rPr>
          <w:color w:val="000000"/>
        </w:rPr>
      </w:pPr>
    </w:p>
    <w:p w14:paraId="77632E7D" w14:textId="27431612" w:rsidR="003757EA" w:rsidRPr="009548E1" w:rsidRDefault="003757EA" w:rsidP="003757EA">
      <w:pPr>
        <w:shd w:val="clear" w:color="auto" w:fill="FFFFFF"/>
        <w:jc w:val="both"/>
      </w:pPr>
      <w:r w:rsidRPr="009548E1">
        <w:rPr>
          <w:color w:val="000000"/>
        </w:rPr>
        <w:t xml:space="preserve">Od ukupnog iznosa rashoda u </w:t>
      </w:r>
      <w:r w:rsidR="00496880" w:rsidRPr="009548E1">
        <w:rPr>
          <w:color w:val="000000"/>
        </w:rPr>
        <w:t>2023. godini</w:t>
      </w:r>
      <w:r w:rsidRPr="009548E1">
        <w:rPr>
          <w:color w:val="000000"/>
        </w:rPr>
        <w:t xml:space="preserve"> 245.360,50 eura se odnosi na izmirenje obveza po izdanim i protestiranim državnim </w:t>
      </w:r>
      <w:r w:rsidRPr="009548E1">
        <w:t xml:space="preserve">jamstvima za društvo ULJANIK d.d. u stečaju na ime troškova arbitražnog postupka, a preostali iznos od </w:t>
      </w:r>
      <w:r w:rsidR="008E3828" w:rsidRPr="009548E1">
        <w:t xml:space="preserve">580.108,05 </w:t>
      </w:r>
      <w:r w:rsidRPr="009548E1">
        <w:t>eura se odnosi na EIB – Paneuropski jamstveni fond. Naime, 15. ožujka 2023. izvršeno je plaćanje obveze prema Europskoj investicijskoj banci po osnovi aktiviranog jamstva vezanog uz Paneuropski jamstveni fond te obračunatih kamata, u ukupnom iznosu od 110.642,94 eura, 31. svibnja 202</w:t>
      </w:r>
      <w:r w:rsidR="008E3828" w:rsidRPr="009548E1">
        <w:t xml:space="preserve">3. u iznosu od 7.187,97 eura, </w:t>
      </w:r>
      <w:r w:rsidRPr="009548E1">
        <w:t>5. rujna 2023. u iznosu od 246.267,68 eura</w:t>
      </w:r>
      <w:r w:rsidR="008E3828" w:rsidRPr="009548E1">
        <w:t xml:space="preserve"> te 7. prosinca 2023. 216.009,46 eura</w:t>
      </w:r>
      <w:r w:rsidRPr="009548E1">
        <w:t>.</w:t>
      </w:r>
    </w:p>
    <w:p w14:paraId="53B288BB" w14:textId="03343FC2" w:rsidR="008E3828" w:rsidRPr="009548E1" w:rsidRDefault="008E3828" w:rsidP="003757EA">
      <w:pPr>
        <w:shd w:val="clear" w:color="auto" w:fill="FFFFFF"/>
        <w:jc w:val="both"/>
      </w:pPr>
    </w:p>
    <w:p w14:paraId="0DE91467" w14:textId="4A7624EE" w:rsidR="008E3828" w:rsidRPr="009548E1" w:rsidRDefault="008E3828" w:rsidP="008E3828">
      <w:pPr>
        <w:shd w:val="clear" w:color="auto" w:fill="FFFFFF"/>
        <w:jc w:val="both"/>
      </w:pPr>
      <w:r w:rsidRPr="009548E1">
        <w:t>U 2022. godini ostvareni su značajno veći rashodi, ukupno 79.683.883,53 eura. Naime, Ministarstvo financija izdalo je 2015. godine u korist HBOR-a državna jamstva Riznični brojevi: F-035-15 i F-036-15 za izdavanje bankarskih garancija za povrat avansa za Novogradnju 522.</w:t>
      </w:r>
    </w:p>
    <w:p w14:paraId="41C0641F" w14:textId="77777777" w:rsidR="008E3828" w:rsidRPr="009548E1" w:rsidRDefault="008E3828" w:rsidP="008E3828">
      <w:pPr>
        <w:shd w:val="clear" w:color="auto" w:fill="FFFFFF"/>
        <w:jc w:val="both"/>
      </w:pPr>
    </w:p>
    <w:p w14:paraId="0CCDD5A7" w14:textId="77777777" w:rsidR="008E3828" w:rsidRPr="009548E1" w:rsidRDefault="008E3828" w:rsidP="008E3828">
      <w:pPr>
        <w:shd w:val="clear" w:color="auto" w:fill="FFFFFF"/>
        <w:jc w:val="both"/>
      </w:pPr>
      <w:r w:rsidRPr="009548E1">
        <w:t xml:space="preserve">Sukladno arbitražnom pravorijeku od 3. siječnja 2022. godine u sporu koji je </w:t>
      </w:r>
      <w:proofErr w:type="spellStart"/>
      <w:r w:rsidRPr="009548E1">
        <w:t>Wellard</w:t>
      </w:r>
      <w:proofErr w:type="spellEnd"/>
      <w:r w:rsidRPr="009548E1">
        <w:t xml:space="preserve"> </w:t>
      </w:r>
      <w:proofErr w:type="spellStart"/>
      <w:r w:rsidRPr="009548E1">
        <w:t>Ships</w:t>
      </w:r>
      <w:proofErr w:type="spellEnd"/>
      <w:r w:rsidRPr="009548E1">
        <w:t xml:space="preserve"> </w:t>
      </w:r>
      <w:proofErr w:type="spellStart"/>
      <w:r w:rsidRPr="009548E1">
        <w:t>Pte,Ltd</w:t>
      </w:r>
      <w:proofErr w:type="spellEnd"/>
      <w:r w:rsidRPr="009548E1">
        <w:t>, Singapore pokrenuo protiv HBOR-a radi neplaćanja po HBOR-ovim garancijama izdanim 2015. godine po nalogu Uljanika d.d., HBOR je dana 14. siječnja 2022. godine izvršio isplatu temeljem navedenih garancija u visini od 1.832.672,55 EUR i 9.940.852,52 USD.</w:t>
      </w:r>
    </w:p>
    <w:p w14:paraId="4F8A19B8" w14:textId="77777777" w:rsidR="008E3828" w:rsidRPr="009548E1" w:rsidRDefault="008E3828" w:rsidP="008E3828">
      <w:pPr>
        <w:shd w:val="clear" w:color="auto" w:fill="FFFFFF"/>
        <w:jc w:val="both"/>
      </w:pPr>
    </w:p>
    <w:p w14:paraId="00098E93" w14:textId="6A71DA5C" w:rsidR="008E3828" w:rsidRPr="009548E1" w:rsidRDefault="008E3828" w:rsidP="008E3828">
      <w:pPr>
        <w:shd w:val="clear" w:color="auto" w:fill="FFFFFF"/>
        <w:jc w:val="both"/>
      </w:pPr>
      <w:r w:rsidRPr="009548E1">
        <w:t xml:space="preserve">Ministarstvo financija je temeljem navedenih jamstava (pokrivaju 64% obveza po garancijama) dana 26. siječnja 2022. godine prema HBOR-u izmirilo obveze umjesto društva Uljanik d.d., u stečaju, u iznosu od 1.172.910,43 </w:t>
      </w:r>
      <w:r w:rsidR="000D2040">
        <w:t>eura</w:t>
      </w:r>
      <w:r w:rsidRPr="009548E1">
        <w:t xml:space="preserve"> na ime glavnice i redovnih kamata te u iznosu od 6.362.145,61 USD na</w:t>
      </w:r>
      <w:r w:rsidR="000D2040">
        <w:t xml:space="preserve"> ime glavnice i redovnih kamata</w:t>
      </w:r>
      <w:r w:rsidRPr="009548E1">
        <w:t>.</w:t>
      </w:r>
    </w:p>
    <w:p w14:paraId="09AF5201" w14:textId="77777777" w:rsidR="008E3828" w:rsidRPr="009548E1" w:rsidRDefault="008E3828" w:rsidP="008E3828">
      <w:pPr>
        <w:shd w:val="clear" w:color="auto" w:fill="FFFFFF"/>
        <w:jc w:val="both"/>
      </w:pPr>
    </w:p>
    <w:p w14:paraId="25E9B779" w14:textId="149C54DD" w:rsidR="008E3828" w:rsidRPr="009548E1" w:rsidRDefault="008E3828" w:rsidP="008E3828">
      <w:pPr>
        <w:shd w:val="clear" w:color="auto" w:fill="FFFFFF"/>
        <w:jc w:val="both"/>
      </w:pPr>
      <w:r w:rsidRPr="009548E1">
        <w:t xml:space="preserve">Nadalje, Ministarstvo financija izdalo je za društvo Brodograđevna industrija Split d.d. u 2020. godini državno jamstvo Riznični broj F-008-20 u korist VTB Bank (Europe) SE za gradnju broda Nov. 485. Temeljem navedenog izdanog i protestiranog državnog jamstva, Ministarstvo financija izvršilo je plaćanje u iznosu od </w:t>
      </w:r>
      <w:r w:rsidR="000D2040">
        <w:t>32.251.318,26 eura</w:t>
      </w:r>
      <w:r w:rsidRPr="009548E1">
        <w:t>.</w:t>
      </w:r>
    </w:p>
    <w:p w14:paraId="12306C8D" w14:textId="77777777" w:rsidR="008E3828" w:rsidRPr="009548E1" w:rsidRDefault="008E3828" w:rsidP="008E3828">
      <w:pPr>
        <w:shd w:val="clear" w:color="auto" w:fill="FFFFFF"/>
        <w:jc w:val="both"/>
      </w:pPr>
    </w:p>
    <w:p w14:paraId="66C12B72" w14:textId="246A51D0" w:rsidR="008E3828" w:rsidRPr="009548E1" w:rsidRDefault="008E3828" w:rsidP="008E3828">
      <w:pPr>
        <w:shd w:val="clear" w:color="auto" w:fill="FFFFFF"/>
        <w:jc w:val="both"/>
      </w:pPr>
      <w:r w:rsidRPr="009548E1">
        <w:t xml:space="preserve">Također, u okviru kapitalne pomoći trgovačkim društvima i obrtnicima po protestiranim jamstvima ostvareno je </w:t>
      </w:r>
      <w:r w:rsidR="000D2040">
        <w:t>36.559.809,19 eura</w:t>
      </w:r>
      <w:r w:rsidRPr="009548E1">
        <w:t xml:space="preserve"> rashoda koji su klasificirani podaci sukladno Zakonu o tajnosti podataka kojim se uređuje pojam klasificiranih i neklasificiranih podataka.</w:t>
      </w:r>
    </w:p>
    <w:p w14:paraId="1BACA688" w14:textId="77777777" w:rsidR="008E3828" w:rsidRPr="009548E1" w:rsidRDefault="008E3828" w:rsidP="008E3828">
      <w:pPr>
        <w:shd w:val="clear" w:color="auto" w:fill="FFFFFF"/>
        <w:jc w:val="both"/>
      </w:pPr>
    </w:p>
    <w:p w14:paraId="067EB671" w14:textId="04436024" w:rsidR="008E3828" w:rsidRPr="009548E1" w:rsidRDefault="008E3828" w:rsidP="008E3828">
      <w:pPr>
        <w:shd w:val="clear" w:color="auto" w:fill="FFFFFF"/>
        <w:jc w:val="both"/>
      </w:pPr>
      <w:r w:rsidRPr="009548E1">
        <w:t xml:space="preserve">Ministarstvo financija izdalo je za društvo HŽ </w:t>
      </w:r>
      <w:proofErr w:type="spellStart"/>
      <w:r w:rsidRPr="009548E1">
        <w:t>Cargo</w:t>
      </w:r>
      <w:proofErr w:type="spellEnd"/>
      <w:r w:rsidRPr="009548E1">
        <w:t xml:space="preserve"> d.o.o. u 2015. godini državno jamstvo Riznični broj F-029-15 u korist IBRD te 2016. godine državno jamstvo Riznični broj F-014-16 u korist Hrvatske poštanske banke d.d. i Croatia banke d.d.. Temeljem navedenih izdanih i protestiranih državnih jamstava za društvo HŽ </w:t>
      </w:r>
      <w:proofErr w:type="spellStart"/>
      <w:r w:rsidRPr="009548E1">
        <w:t>Cargo</w:t>
      </w:r>
      <w:proofErr w:type="spellEnd"/>
      <w:r w:rsidRPr="009548E1">
        <w:t xml:space="preserve"> d.o.o., Ministarstvo financija izvršilo je plaćanja </w:t>
      </w:r>
      <w:r w:rsidR="000D2040">
        <w:t>u iznosu od 4.049.350,53 eura</w:t>
      </w:r>
      <w:r w:rsidRPr="009548E1">
        <w:t>.</w:t>
      </w:r>
    </w:p>
    <w:p w14:paraId="356CE37A" w14:textId="0AEAA1A1" w:rsidR="003054EA" w:rsidRPr="009548E1" w:rsidRDefault="003054EA" w:rsidP="003054EA">
      <w:pPr>
        <w:pStyle w:val="Naslov"/>
        <w:keepNext/>
        <w:rPr>
          <w:b w:val="0"/>
          <w:bCs w:val="0"/>
        </w:rPr>
      </w:pPr>
      <w:r w:rsidRPr="009548E1">
        <w:rPr>
          <w:b w:val="0"/>
          <w:bCs w:val="0"/>
        </w:rPr>
        <w:t xml:space="preserve">Bilješka </w:t>
      </w:r>
      <w:r w:rsidR="002D2B2F">
        <w:rPr>
          <w:b w:val="0"/>
          <w:bCs w:val="0"/>
        </w:rPr>
        <w:t>34</w:t>
      </w:r>
      <w:r w:rsidRPr="009548E1">
        <w:rPr>
          <w:b w:val="0"/>
          <w:bCs w:val="0"/>
        </w:rPr>
        <w:t>.</w:t>
      </w:r>
    </w:p>
    <w:p w14:paraId="2D5F9663" w14:textId="77777777" w:rsidR="003054EA" w:rsidRPr="009548E1" w:rsidRDefault="003054EA" w:rsidP="003054EA">
      <w:pPr>
        <w:pStyle w:val="Naslov"/>
        <w:keepNext/>
        <w:rPr>
          <w:b w:val="0"/>
          <w:bCs w:val="0"/>
          <w:szCs w:val="28"/>
        </w:rPr>
      </w:pPr>
      <w:r w:rsidRPr="009548E1">
        <w:rPr>
          <w:b w:val="0"/>
          <w:bCs w:val="0"/>
          <w:szCs w:val="28"/>
        </w:rPr>
        <w:t>Šifra 7111 Zemljište</w:t>
      </w:r>
    </w:p>
    <w:p w14:paraId="4719305A" w14:textId="77777777" w:rsidR="003054EA" w:rsidRPr="009548E1" w:rsidRDefault="003054EA" w:rsidP="003054EA">
      <w:pPr>
        <w:pStyle w:val="Naslov"/>
        <w:keepNext/>
        <w:jc w:val="both"/>
        <w:rPr>
          <w:b w:val="0"/>
          <w:bCs w:val="0"/>
          <w:sz w:val="24"/>
        </w:rPr>
      </w:pPr>
      <w:r w:rsidRPr="009548E1">
        <w:rPr>
          <w:b w:val="0"/>
          <w:bCs w:val="0"/>
          <w:sz w:val="24"/>
        </w:rPr>
        <w:t xml:space="preserve">U 2023. godini </w:t>
      </w:r>
      <w:r w:rsidR="00FE4F04" w:rsidRPr="009548E1">
        <w:rPr>
          <w:b w:val="0"/>
          <w:bCs w:val="0"/>
          <w:sz w:val="24"/>
        </w:rPr>
        <w:t>ostvareno je 7.912.090,05 eura</w:t>
      </w:r>
      <w:r w:rsidR="00AC7CFE" w:rsidRPr="009548E1">
        <w:rPr>
          <w:b w:val="0"/>
          <w:bCs w:val="0"/>
          <w:sz w:val="24"/>
        </w:rPr>
        <w:t xml:space="preserve"> prihoda </w:t>
      </w:r>
      <w:r w:rsidR="00FE4F04" w:rsidRPr="009548E1">
        <w:rPr>
          <w:b w:val="0"/>
          <w:bCs w:val="0"/>
          <w:sz w:val="24"/>
        </w:rPr>
        <w:t>od prodaje zemljišta što je za 38,3% manje u odnosu na prethodnu godinu kada</w:t>
      </w:r>
      <w:r w:rsidR="00AC7CFE" w:rsidRPr="009548E1">
        <w:rPr>
          <w:b w:val="0"/>
          <w:bCs w:val="0"/>
          <w:sz w:val="24"/>
        </w:rPr>
        <w:t xml:space="preserve"> je ostvareno</w:t>
      </w:r>
      <w:r w:rsidRPr="009548E1">
        <w:rPr>
          <w:b w:val="0"/>
          <w:bCs w:val="0"/>
          <w:sz w:val="24"/>
        </w:rPr>
        <w:t xml:space="preserve"> </w:t>
      </w:r>
      <w:r w:rsidR="00AC7CFE" w:rsidRPr="009548E1">
        <w:rPr>
          <w:b w:val="0"/>
          <w:bCs w:val="0"/>
          <w:sz w:val="24"/>
        </w:rPr>
        <w:t>12.823.660,75 eura</w:t>
      </w:r>
      <w:r w:rsidR="00FE4F04" w:rsidRPr="009548E1">
        <w:rPr>
          <w:b w:val="0"/>
          <w:bCs w:val="0"/>
          <w:sz w:val="24"/>
        </w:rPr>
        <w:t>.</w:t>
      </w:r>
      <w:r w:rsidRPr="009548E1">
        <w:rPr>
          <w:b w:val="0"/>
          <w:bCs w:val="0"/>
          <w:sz w:val="24"/>
        </w:rPr>
        <w:t xml:space="preserve"> Navedeni prihodi odnose se na uplate od prodaje zemljišta u vlasništvu RH za čiju je naplatu zaduženo Ministarstvo graditeljstva, prostornog uređenja i državne imovine. </w:t>
      </w:r>
    </w:p>
    <w:p w14:paraId="2C60C51D" w14:textId="77777777" w:rsidR="003054EA" w:rsidRPr="009548E1" w:rsidRDefault="003054EA" w:rsidP="003054EA">
      <w:pPr>
        <w:shd w:val="clear" w:color="auto" w:fill="FFFFFF"/>
        <w:jc w:val="both"/>
        <w:rPr>
          <w:color w:val="000000"/>
        </w:rPr>
      </w:pPr>
    </w:p>
    <w:p w14:paraId="1776A9E7" w14:textId="77777777" w:rsidR="00B85481" w:rsidRPr="009548E1" w:rsidRDefault="00B85481"/>
    <w:p w14:paraId="3E60B785" w14:textId="5B94C766" w:rsidR="00B85481" w:rsidRPr="009548E1" w:rsidRDefault="00B85481" w:rsidP="00B85481">
      <w:pPr>
        <w:pStyle w:val="Naslov"/>
        <w:keepNext/>
        <w:rPr>
          <w:b w:val="0"/>
          <w:bCs w:val="0"/>
        </w:rPr>
      </w:pPr>
      <w:r w:rsidRPr="009548E1">
        <w:rPr>
          <w:b w:val="0"/>
          <w:bCs w:val="0"/>
        </w:rPr>
        <w:t xml:space="preserve">Bilješka </w:t>
      </w:r>
      <w:r w:rsidR="002D2B2F">
        <w:rPr>
          <w:b w:val="0"/>
          <w:bCs w:val="0"/>
        </w:rPr>
        <w:t>35</w:t>
      </w:r>
      <w:r w:rsidRPr="009548E1">
        <w:rPr>
          <w:b w:val="0"/>
          <w:bCs w:val="0"/>
        </w:rPr>
        <w:t>.</w:t>
      </w:r>
    </w:p>
    <w:p w14:paraId="1F6D306D" w14:textId="77777777" w:rsidR="00B85481" w:rsidRPr="009548E1" w:rsidRDefault="00B85481" w:rsidP="00B85481">
      <w:pPr>
        <w:pStyle w:val="Naslov"/>
        <w:keepNext/>
        <w:rPr>
          <w:b w:val="0"/>
          <w:bCs w:val="0"/>
        </w:rPr>
      </w:pPr>
      <w:r w:rsidRPr="009548E1">
        <w:rPr>
          <w:b w:val="0"/>
          <w:bCs w:val="0"/>
        </w:rPr>
        <w:t>Šifra 741 Prihodi od prodaje zaliha</w:t>
      </w:r>
    </w:p>
    <w:p w14:paraId="3AE78789" w14:textId="77777777" w:rsidR="00B85481" w:rsidRPr="009548E1" w:rsidRDefault="00B85481" w:rsidP="00B85481">
      <w:pPr>
        <w:jc w:val="both"/>
      </w:pPr>
      <w:r w:rsidRPr="009548E1">
        <w:t>Iznos od 1.533.295,90 eura evidentiran u okviru ovog prihoda odnosi se na prodaju neperspektivne vojne opreme. Detalji poslovnog događaja klasificirani su podaci sukladno Zakonu o tajnosti podataka kojim se uređuje pojam klasificiranih i neklasificiranih podataka.</w:t>
      </w:r>
    </w:p>
    <w:p w14:paraId="5F47669D" w14:textId="77777777" w:rsidR="00FA55A7" w:rsidRPr="009548E1" w:rsidRDefault="00FA55A7" w:rsidP="00FA55A7">
      <w:pPr>
        <w:pStyle w:val="Naslov"/>
        <w:keepNext/>
        <w:jc w:val="left"/>
        <w:rPr>
          <w:b w:val="0"/>
          <w:bCs w:val="0"/>
        </w:rPr>
      </w:pPr>
    </w:p>
    <w:p w14:paraId="513878B0" w14:textId="59907777" w:rsidR="00FA55A7" w:rsidRPr="009548E1" w:rsidRDefault="00FA55A7" w:rsidP="00FA55A7">
      <w:pPr>
        <w:pStyle w:val="Naslov"/>
        <w:keepNext/>
        <w:rPr>
          <w:b w:val="0"/>
          <w:bCs w:val="0"/>
        </w:rPr>
      </w:pPr>
      <w:r w:rsidRPr="009548E1">
        <w:rPr>
          <w:b w:val="0"/>
          <w:bCs w:val="0"/>
        </w:rPr>
        <w:t xml:space="preserve">Bilješka </w:t>
      </w:r>
      <w:r w:rsidR="002D2B2F">
        <w:rPr>
          <w:b w:val="0"/>
          <w:bCs w:val="0"/>
        </w:rPr>
        <w:t>36</w:t>
      </w:r>
      <w:r w:rsidRPr="009548E1">
        <w:rPr>
          <w:b w:val="0"/>
          <w:bCs w:val="0"/>
        </w:rPr>
        <w:t>.</w:t>
      </w:r>
    </w:p>
    <w:p w14:paraId="7E7AE81A" w14:textId="77777777" w:rsidR="00FA55A7" w:rsidRPr="009548E1" w:rsidRDefault="00FA55A7" w:rsidP="00FA55A7">
      <w:pPr>
        <w:pStyle w:val="Naslov"/>
        <w:keepNext/>
        <w:rPr>
          <w:b w:val="0"/>
          <w:bCs w:val="0"/>
        </w:rPr>
      </w:pPr>
      <w:r w:rsidRPr="009548E1">
        <w:rPr>
          <w:b w:val="0"/>
          <w:bCs w:val="0"/>
        </w:rPr>
        <w:t xml:space="preserve">Šifra 4212 Poslovni objekti </w:t>
      </w:r>
    </w:p>
    <w:p w14:paraId="4C272A6D" w14:textId="3452F7A3" w:rsidR="00FA55A7" w:rsidRPr="009548E1" w:rsidRDefault="00FA55A7" w:rsidP="0039484E">
      <w:pPr>
        <w:pStyle w:val="Naslov"/>
        <w:keepNext/>
        <w:jc w:val="both"/>
        <w:rPr>
          <w:b w:val="0"/>
          <w:bCs w:val="0"/>
          <w:sz w:val="24"/>
        </w:rPr>
      </w:pPr>
      <w:r w:rsidRPr="009548E1">
        <w:rPr>
          <w:b w:val="0"/>
          <w:bCs w:val="0"/>
          <w:sz w:val="24"/>
        </w:rPr>
        <w:t xml:space="preserve">U 2023. godini nije bilo </w:t>
      </w:r>
      <w:r w:rsidR="0039484E" w:rsidRPr="009548E1">
        <w:rPr>
          <w:b w:val="0"/>
          <w:bCs w:val="0"/>
          <w:sz w:val="24"/>
        </w:rPr>
        <w:t>izvršenih rashoda za nabavu nefinancijske imovine (poslovni objekti)</w:t>
      </w:r>
      <w:r w:rsidRPr="009548E1">
        <w:rPr>
          <w:b w:val="0"/>
          <w:bCs w:val="0"/>
          <w:sz w:val="24"/>
        </w:rPr>
        <w:t xml:space="preserve">, dok </w:t>
      </w:r>
      <w:r w:rsidR="0039484E" w:rsidRPr="009548E1">
        <w:rPr>
          <w:b w:val="0"/>
          <w:bCs w:val="0"/>
          <w:sz w:val="24"/>
        </w:rPr>
        <w:t xml:space="preserve">su </w:t>
      </w:r>
      <w:r w:rsidRPr="009548E1">
        <w:rPr>
          <w:b w:val="0"/>
          <w:bCs w:val="0"/>
          <w:sz w:val="24"/>
        </w:rPr>
        <w:t>u 2022. godini rashodi za nabavu nefinancijske imovin</w:t>
      </w:r>
      <w:r w:rsidR="0039484E" w:rsidRPr="009548E1">
        <w:rPr>
          <w:b w:val="0"/>
          <w:bCs w:val="0"/>
          <w:sz w:val="24"/>
        </w:rPr>
        <w:t>e (poslovni objekti) iznosili</w:t>
      </w:r>
      <w:r w:rsidRPr="009548E1">
        <w:rPr>
          <w:b w:val="0"/>
          <w:bCs w:val="0"/>
          <w:sz w:val="24"/>
        </w:rPr>
        <w:t xml:space="preserve"> </w:t>
      </w:r>
      <w:r w:rsidR="0039484E" w:rsidRPr="009548E1">
        <w:rPr>
          <w:b w:val="0"/>
          <w:bCs w:val="0"/>
          <w:sz w:val="24"/>
        </w:rPr>
        <w:t>602.813,06 eura</w:t>
      </w:r>
      <w:r w:rsidRPr="009548E1">
        <w:rPr>
          <w:b w:val="0"/>
          <w:bCs w:val="0"/>
          <w:sz w:val="24"/>
        </w:rPr>
        <w:t xml:space="preserve">. Navedeni iznos odnosi se na upisano vlasništvo u korist Republike Hrvatske temeljem Rješenja Zemljišnoknjižnog odjela Općinskog građanskog suda u Zagrebu Posl.br. Z-48832/2022-5 od 17. listopada 2022. godine na 2/5 dijelova nekretnine u vlasništvu društva HE-TO TRADE d.o.o., čija je procijenjena vrijednost </w:t>
      </w:r>
      <w:r w:rsidR="000D2040">
        <w:rPr>
          <w:b w:val="0"/>
          <w:bCs w:val="0"/>
          <w:sz w:val="24"/>
        </w:rPr>
        <w:t>602.813,06 eura</w:t>
      </w:r>
      <w:r w:rsidRPr="009548E1">
        <w:rPr>
          <w:b w:val="0"/>
          <w:bCs w:val="0"/>
          <w:sz w:val="24"/>
        </w:rPr>
        <w:t>.</w:t>
      </w:r>
    </w:p>
    <w:p w14:paraId="1593708A" w14:textId="77777777" w:rsidR="00FA55A7" w:rsidRPr="009548E1" w:rsidRDefault="00FA55A7" w:rsidP="00FA55A7">
      <w:pPr>
        <w:pStyle w:val="Naslov"/>
        <w:keepNext/>
        <w:jc w:val="both"/>
        <w:rPr>
          <w:b w:val="0"/>
          <w:bCs w:val="0"/>
          <w:sz w:val="24"/>
        </w:rPr>
      </w:pPr>
    </w:p>
    <w:p w14:paraId="489B5720" w14:textId="488190A1" w:rsidR="00FA55A7" w:rsidRDefault="00FA55A7" w:rsidP="009933F6">
      <w:pPr>
        <w:pStyle w:val="Naslov"/>
        <w:keepNext/>
        <w:jc w:val="both"/>
        <w:rPr>
          <w:b w:val="0"/>
          <w:bCs w:val="0"/>
          <w:sz w:val="24"/>
        </w:rPr>
      </w:pPr>
      <w:r w:rsidRPr="009548E1">
        <w:rPr>
          <w:b w:val="0"/>
          <w:bCs w:val="0"/>
          <w:sz w:val="24"/>
        </w:rPr>
        <w:t xml:space="preserve">Naime, Rješenjem Trgovačkog suda u Zagrebu broj: 48. St-652/17-35 od 3. listopada 2019. godine, koje je postalo pravomoćno dana 25. studenog 2019. godine, odobreno je sklapanje </w:t>
      </w:r>
      <w:proofErr w:type="spellStart"/>
      <w:r w:rsidRPr="009548E1">
        <w:rPr>
          <w:b w:val="0"/>
          <w:bCs w:val="0"/>
          <w:sz w:val="24"/>
        </w:rPr>
        <w:t>predstečajne</w:t>
      </w:r>
      <w:proofErr w:type="spellEnd"/>
      <w:r w:rsidRPr="009548E1">
        <w:rPr>
          <w:b w:val="0"/>
          <w:bCs w:val="0"/>
          <w:sz w:val="24"/>
        </w:rPr>
        <w:t xml:space="preserve"> nagodbe u postupku n</w:t>
      </w:r>
      <w:r w:rsidR="009933F6">
        <w:rPr>
          <w:b w:val="0"/>
          <w:bCs w:val="0"/>
          <w:sz w:val="24"/>
        </w:rPr>
        <w:t>ad dužnikom MUNJA d.d., Zagreb.</w:t>
      </w:r>
    </w:p>
    <w:p w14:paraId="2D964AB4" w14:textId="77777777" w:rsidR="009933F6" w:rsidRPr="009548E1" w:rsidRDefault="009933F6" w:rsidP="009933F6">
      <w:pPr>
        <w:pStyle w:val="Naslov"/>
        <w:keepNext/>
        <w:jc w:val="both"/>
        <w:rPr>
          <w:b w:val="0"/>
          <w:bCs w:val="0"/>
          <w:sz w:val="24"/>
        </w:rPr>
      </w:pPr>
    </w:p>
    <w:p w14:paraId="436D109D" w14:textId="77777777" w:rsidR="00E562D9" w:rsidRDefault="00FA55A7" w:rsidP="00E562D9">
      <w:pPr>
        <w:jc w:val="both"/>
        <w:rPr>
          <w:bCs/>
        </w:rPr>
      </w:pPr>
      <w:r w:rsidRPr="009548E1">
        <w:t>Istim Rješenjem tražbina Ministarstva financija - bivši Fond za razvoj i zapošljavanje, utvrđena u ukupnom iznosu od 13.017.988,28 kuna djelomično je namirena stjecanjem 2/5 dijelova nekretnine u vlasništvu je društva HE-TO TRADE d.o.o., čija je procijenj</w:t>
      </w:r>
      <w:r w:rsidR="009933F6">
        <w:t>ena vrijednost </w:t>
      </w:r>
      <w:r w:rsidR="009933F6">
        <w:rPr>
          <w:bCs/>
        </w:rPr>
        <w:t>602.813,06 eura</w:t>
      </w:r>
      <w:r w:rsidR="0039484E" w:rsidRPr="009548E1">
        <w:rPr>
          <w:bCs/>
        </w:rPr>
        <w:t>.</w:t>
      </w:r>
    </w:p>
    <w:p w14:paraId="408A5067" w14:textId="77777777" w:rsidR="00E562D9" w:rsidRDefault="00E562D9" w:rsidP="00E562D9">
      <w:pPr>
        <w:jc w:val="both"/>
        <w:rPr>
          <w:bCs/>
        </w:rPr>
      </w:pPr>
    </w:p>
    <w:p w14:paraId="7D9B1A53" w14:textId="4A231FDD" w:rsidR="00685FE5" w:rsidRPr="009548E1" w:rsidRDefault="00685FE5" w:rsidP="00E562D9">
      <w:pPr>
        <w:pStyle w:val="Naslov"/>
        <w:keepNext/>
        <w:rPr>
          <w:b w:val="0"/>
          <w:bCs w:val="0"/>
        </w:rPr>
      </w:pPr>
      <w:r w:rsidRPr="009548E1">
        <w:rPr>
          <w:b w:val="0"/>
          <w:bCs w:val="0"/>
        </w:rPr>
        <w:t xml:space="preserve">Bilješka </w:t>
      </w:r>
      <w:r w:rsidR="002D2B2F">
        <w:rPr>
          <w:b w:val="0"/>
          <w:bCs w:val="0"/>
        </w:rPr>
        <w:t>37</w:t>
      </w:r>
      <w:r w:rsidRPr="009548E1">
        <w:rPr>
          <w:b w:val="0"/>
          <w:bCs w:val="0"/>
        </w:rPr>
        <w:t>.</w:t>
      </w:r>
    </w:p>
    <w:p w14:paraId="424DF084" w14:textId="77777777" w:rsidR="00685FE5" w:rsidRPr="009548E1" w:rsidRDefault="00685FE5" w:rsidP="00685FE5">
      <w:pPr>
        <w:pStyle w:val="Naslov"/>
        <w:keepNext/>
        <w:rPr>
          <w:b w:val="0"/>
        </w:rPr>
      </w:pPr>
      <w:r w:rsidRPr="009548E1">
        <w:rPr>
          <w:b w:val="0"/>
        </w:rPr>
        <w:t xml:space="preserve">Šifra 8 Primici od financijske imovine i zaduživanja </w:t>
      </w:r>
    </w:p>
    <w:p w14:paraId="4310D64A" w14:textId="584E3975" w:rsidR="00685FE5" w:rsidRPr="009548E1" w:rsidRDefault="00685FE5" w:rsidP="00685FE5">
      <w:pPr>
        <w:jc w:val="both"/>
      </w:pPr>
      <w:r w:rsidRPr="009548E1">
        <w:t xml:space="preserve">Na Šifri 8 Primici od financijske imovine i zaduživanja u 2023. godini iskazan je iznos od </w:t>
      </w:r>
      <w:r w:rsidR="009454F6" w:rsidRPr="009548E1">
        <w:t>6.975.549.376,48</w:t>
      </w:r>
      <w:r w:rsidRPr="009548E1">
        <w:t xml:space="preserve"> eura koji predstavlja naplaćene primitke od financijske imovine i zaduživanja. U odnosu na 2022. godinu u kojoj je ostvareno 5.494.962.018,73 eura iskazano je povećanje od </w:t>
      </w:r>
      <w:r w:rsidR="009454F6" w:rsidRPr="009548E1">
        <w:t>26,9</w:t>
      </w:r>
      <w:r w:rsidRPr="009548E1">
        <w:t>%. Primici od financijske imovine i zaduživanja obuhvaćaju dugoročne i kratkoročne primitke od financijske imovine i zaduživanja.</w:t>
      </w:r>
    </w:p>
    <w:p w14:paraId="77F9A2A8" w14:textId="77777777" w:rsidR="00685FE5" w:rsidRPr="009548E1" w:rsidRDefault="00685FE5" w:rsidP="00685FE5">
      <w:pPr>
        <w:jc w:val="both"/>
      </w:pPr>
    </w:p>
    <w:p w14:paraId="3EE1F5B3" w14:textId="77777777" w:rsidR="00685FE5" w:rsidRPr="009548E1" w:rsidRDefault="00685FE5" w:rsidP="00685FE5">
      <w:pPr>
        <w:jc w:val="both"/>
      </w:pPr>
      <w:r w:rsidRPr="009548E1">
        <w:t>Kratkoročni primici i izdaci u glavnoj knjizi državnog proračuna evidentiraju se sukladno odredbama Zakona o proračunu po bruto načelu odnosno u punom iznosu. Sukladno Uputi o primjeni modificiranog novčanog načela u postupku planiranja i izvršavanja državnog proračuna i financijskih planova izvanproračunskih korisnika državnog proračuna (KLASA: 401-01/15-01/131, URBROJ: 513-05-03-19-3) kratkoročni primici i izdaci planiraju se i iskazuju u neto iznosu prema istovrsnim kategorijama. U financijskom izvještaju državnog proračuna kratkoročni primici i izdaci iskazuju se u neto iznosu nakon što se iznosi kratkoročnih primitaka i izdataka međusobno sučele prema istovrsnim kategorijama.</w:t>
      </w:r>
    </w:p>
    <w:p w14:paraId="7D9BB8CD" w14:textId="77777777" w:rsidR="00AC7CFE" w:rsidRPr="009548E1" w:rsidRDefault="00AC7CFE"/>
    <w:p w14:paraId="5A0D9C70" w14:textId="2BEE9E92" w:rsidR="00685FE5" w:rsidRPr="009548E1" w:rsidRDefault="00685FE5" w:rsidP="00685FE5">
      <w:pPr>
        <w:keepNext/>
        <w:jc w:val="center"/>
        <w:rPr>
          <w:sz w:val="28"/>
        </w:rPr>
      </w:pPr>
      <w:r w:rsidRPr="009548E1">
        <w:rPr>
          <w:sz w:val="28"/>
        </w:rPr>
        <w:t xml:space="preserve">Bilješka </w:t>
      </w:r>
      <w:r w:rsidR="002D2B2F">
        <w:rPr>
          <w:sz w:val="28"/>
        </w:rPr>
        <w:t>38</w:t>
      </w:r>
      <w:r w:rsidRPr="009548E1">
        <w:rPr>
          <w:sz w:val="28"/>
        </w:rPr>
        <w:t>.</w:t>
      </w:r>
    </w:p>
    <w:p w14:paraId="57375A37" w14:textId="77777777" w:rsidR="00685FE5" w:rsidRPr="009548E1" w:rsidRDefault="00685FE5" w:rsidP="00685FE5">
      <w:pPr>
        <w:keepNext/>
        <w:jc w:val="center"/>
        <w:rPr>
          <w:sz w:val="28"/>
        </w:rPr>
      </w:pPr>
      <w:r w:rsidRPr="009548E1">
        <w:rPr>
          <w:sz w:val="28"/>
        </w:rPr>
        <w:t>Šifra 81 Primljeni povrati glavnica danih zajmova i depozita</w:t>
      </w:r>
    </w:p>
    <w:p w14:paraId="018CCE8B" w14:textId="1A273285" w:rsidR="00685FE5" w:rsidRPr="009548E1" w:rsidRDefault="00685FE5" w:rsidP="00685FE5">
      <w:pPr>
        <w:keepNext/>
        <w:jc w:val="both"/>
      </w:pPr>
      <w:r w:rsidRPr="009548E1">
        <w:t xml:space="preserve">Primljeni povrati glavnica danih zajmova i depozita u 2023. godini iznosili su </w:t>
      </w:r>
      <w:r w:rsidR="009454F6" w:rsidRPr="009548E1">
        <w:t>1.692.239.975,90 eura odnosno za 1.056,2</w:t>
      </w:r>
      <w:r w:rsidR="00651214" w:rsidRPr="009548E1">
        <w:t>% više od ostvarenja u istom razdoblju 2022. godine.</w:t>
      </w:r>
    </w:p>
    <w:p w14:paraId="11DC66D1" w14:textId="77777777" w:rsidR="00685FE5" w:rsidRPr="009548E1" w:rsidRDefault="00685FE5" w:rsidP="00685FE5">
      <w:pPr>
        <w:keepNext/>
        <w:jc w:val="both"/>
      </w:pPr>
    </w:p>
    <w:p w14:paraId="4F611BDE" w14:textId="77777777" w:rsidR="00776C3C" w:rsidRPr="009548E1" w:rsidRDefault="00685FE5" w:rsidP="00776C3C">
      <w:pPr>
        <w:jc w:val="both"/>
      </w:pPr>
      <w:r w:rsidRPr="009548E1">
        <w:t xml:space="preserve">U okviru navedenog primitka ove godine najznačajniji iznos odnosi se na </w:t>
      </w:r>
      <w:r w:rsidR="00776C3C" w:rsidRPr="009548E1">
        <w:t>primitak od povrata depozita od kreditnih i ostalih financijskih institucija – tuzemni u iznosu od 1,4 milijarde eura (šifra 8181). Naime, krajem prosinca 2022. godine (23. i 29. prosinca) oročeno je ukupno 1.400.000.000,00 eura ostvarenih, u najvećem iznosu, iz sredstava Europske unije, odnosno fonda Mehanizma za oporavak i otpornost u iznosu od 700.000.000,00 eura te instrumenta SURE (Europski instrument za privremenu potporu radi smanjenja rizika od nezaposlenosti u izvanrednoj situaciji) u iznosu od 548.212.500,00 eura. Sredstva su bila oročena do 5. siječnja 2023. godine.</w:t>
      </w:r>
    </w:p>
    <w:p w14:paraId="5B7704FA" w14:textId="03E0C3ED" w:rsidR="00776C3C" w:rsidRPr="009548E1" w:rsidRDefault="00776C3C" w:rsidP="00776C3C">
      <w:pPr>
        <w:jc w:val="both"/>
      </w:pPr>
      <w:r w:rsidRPr="009548E1">
        <w:t>Sukladno članku 32. stavku 4. Pravilnika o proračunskom računovodstvu i Računskom planu kratkoročni depoziti evidentiraju se zaduženjem odgovarajućeg računa skupine 12 i odobrenjem računa novčanih sredstava, a dugoročni depoziti i kratkoročni depoziti koji se vraćaju u sljedećoj godini evidentiraju se i preko odgovarajućih računa razreda 5 Izdaci za financijsku imovinu i otplate zajmova i 8 Primici od financijske imovine i zaduživanja. Navedena odredba razlog je zašto je u Izvještaju o prihodima i rashodima, primicima i izdacima (izvještaj PR-RAS) iskazan primitak od povrata depozita u kreditnim i ostalim institucijama.</w:t>
      </w:r>
    </w:p>
    <w:p w14:paraId="60C90DD3" w14:textId="77777777" w:rsidR="002A3EBC" w:rsidRPr="009548E1" w:rsidRDefault="002A3EBC" w:rsidP="00776C3C">
      <w:pPr>
        <w:jc w:val="both"/>
      </w:pPr>
    </w:p>
    <w:p w14:paraId="03585E71" w14:textId="28EC8EF9" w:rsidR="002A3EBC" w:rsidRPr="009548E1" w:rsidRDefault="002A3EBC" w:rsidP="002A3EBC">
      <w:pPr>
        <w:keepNext/>
        <w:jc w:val="center"/>
        <w:rPr>
          <w:sz w:val="28"/>
        </w:rPr>
      </w:pPr>
      <w:r w:rsidRPr="009548E1">
        <w:rPr>
          <w:sz w:val="28"/>
        </w:rPr>
        <w:t xml:space="preserve">Bilješka </w:t>
      </w:r>
      <w:r w:rsidR="002D2B2F">
        <w:rPr>
          <w:sz w:val="28"/>
        </w:rPr>
        <w:t>39</w:t>
      </w:r>
      <w:r w:rsidRPr="009548E1">
        <w:rPr>
          <w:sz w:val="28"/>
        </w:rPr>
        <w:t>.</w:t>
      </w:r>
    </w:p>
    <w:p w14:paraId="584C54A7" w14:textId="525C4E69" w:rsidR="002A3EBC" w:rsidRPr="009548E1" w:rsidRDefault="002A3EBC" w:rsidP="002A3EBC">
      <w:pPr>
        <w:keepNext/>
        <w:jc w:val="center"/>
        <w:rPr>
          <w:sz w:val="28"/>
        </w:rPr>
      </w:pPr>
      <w:r w:rsidRPr="009548E1">
        <w:rPr>
          <w:sz w:val="28"/>
        </w:rPr>
        <w:t>Šifra 8132 Povrat zajmova danih kreditnim institucijama u javnom sektoru</w:t>
      </w:r>
    </w:p>
    <w:p w14:paraId="2368019C" w14:textId="71E30B18" w:rsidR="002A3EBC" w:rsidRPr="009548E1" w:rsidRDefault="002A3EBC" w:rsidP="008757BE">
      <w:pPr>
        <w:keepNext/>
        <w:jc w:val="both"/>
      </w:pPr>
      <w:r w:rsidRPr="009548E1">
        <w:t>U 2023. godini ostvareno je 199.084.212,62 eura primitaka od povrata zajmova danih kreditnim institucijama u javnom sektoru</w:t>
      </w:r>
      <w:r w:rsidR="008757BE" w:rsidRPr="009548E1">
        <w:t>, što čini stopostotno povećanje u odnosu na ostvarenje 2022. godine, a ostvareni primitak u 2023. godini</w:t>
      </w:r>
      <w:r w:rsidRPr="009548E1">
        <w:t xml:space="preserve"> odnosi se na povrat zajma dodijeljenog temeljem Ugovora o zajmu zaključenog 26. lipnja 2020. godine s </w:t>
      </w:r>
      <w:r w:rsidR="00E74598">
        <w:t>HBOR-om</w:t>
      </w:r>
      <w:r w:rsidRPr="009548E1">
        <w:t>.</w:t>
      </w:r>
    </w:p>
    <w:p w14:paraId="2BA1B5E5" w14:textId="77777777" w:rsidR="002A3EBC" w:rsidRPr="009548E1" w:rsidRDefault="002A3EBC" w:rsidP="006440F9">
      <w:pPr>
        <w:keepNext/>
        <w:jc w:val="center"/>
        <w:rPr>
          <w:sz w:val="28"/>
        </w:rPr>
      </w:pPr>
    </w:p>
    <w:p w14:paraId="189E5B64" w14:textId="3E7AB488" w:rsidR="006440F9" w:rsidRPr="009548E1" w:rsidRDefault="006440F9" w:rsidP="006440F9">
      <w:pPr>
        <w:keepNext/>
        <w:jc w:val="center"/>
        <w:rPr>
          <w:sz w:val="28"/>
        </w:rPr>
      </w:pPr>
      <w:r w:rsidRPr="009548E1">
        <w:rPr>
          <w:sz w:val="28"/>
        </w:rPr>
        <w:t>Šifra</w:t>
      </w:r>
      <w:r w:rsidR="002D2B2F">
        <w:rPr>
          <w:sz w:val="28"/>
        </w:rPr>
        <w:t xml:space="preserve"> 40.</w:t>
      </w:r>
    </w:p>
    <w:p w14:paraId="340EC71E" w14:textId="60300B81" w:rsidR="006440F9" w:rsidRPr="009548E1" w:rsidRDefault="006440F9" w:rsidP="006440F9">
      <w:pPr>
        <w:keepNext/>
        <w:jc w:val="center"/>
        <w:rPr>
          <w:sz w:val="28"/>
        </w:rPr>
      </w:pPr>
      <w:r w:rsidRPr="009548E1">
        <w:rPr>
          <w:sz w:val="28"/>
        </w:rPr>
        <w:t>Šifra 817 Povrat zajmova danih drugim razinama vlasti</w:t>
      </w:r>
    </w:p>
    <w:p w14:paraId="04CFBB5A" w14:textId="3A18F3BA" w:rsidR="006440F9" w:rsidRPr="009548E1" w:rsidRDefault="006440F9" w:rsidP="006440F9">
      <w:pPr>
        <w:keepNext/>
        <w:jc w:val="both"/>
      </w:pPr>
      <w:r w:rsidRPr="009548E1">
        <w:t>Primici s osnove povrata zajmova danih drugim razinama vlasti  ostvareni su u 2023. godini iznosu od 88.505.635,94 eura i za 34,2% su manji u odnosu na ostvarene primitke u 2022. godini.</w:t>
      </w:r>
    </w:p>
    <w:p w14:paraId="30532E62" w14:textId="77777777" w:rsidR="006440F9" w:rsidRPr="009548E1" w:rsidRDefault="006440F9" w:rsidP="006440F9">
      <w:pPr>
        <w:keepNext/>
        <w:jc w:val="both"/>
      </w:pPr>
    </w:p>
    <w:p w14:paraId="02273268" w14:textId="1103FD51" w:rsidR="006440F9" w:rsidRPr="009548E1" w:rsidRDefault="006440F9" w:rsidP="006440F9">
      <w:pPr>
        <w:keepNext/>
        <w:jc w:val="both"/>
      </w:pPr>
      <w:r w:rsidRPr="009548E1">
        <w:t>Navedeni iznos najvećim se dijelom odnosi na povrate zajmova danih županijama, gradovima i općinama po osnovi odgode/obročne otplate poreza na dohodak i prireza porezu na dohodak, po osnovi povrata poreza na dohodak po godišnjoj prijavi za 2019. godinu, pada prihoda u razdoblju siječanj-rujan 2020. i siječanj-rujan 2021. u odnosu na isto razdoblje 2019. godine, po osnovi sanacije štete od potresa i po osnovi povrata namirenja nedostajućih sredstava korištenih za povrat poreza na dohodak i prireza porezu na dohodak po godišnjim prijavama, i to u sljedećim iznosima:</w:t>
      </w:r>
    </w:p>
    <w:p w14:paraId="34C57A3A" w14:textId="77777777" w:rsidR="006440F9" w:rsidRPr="009548E1" w:rsidRDefault="006440F9" w:rsidP="006440F9">
      <w:pPr>
        <w:keepNext/>
        <w:numPr>
          <w:ilvl w:val="0"/>
          <w:numId w:val="3"/>
        </w:numPr>
        <w:contextualSpacing/>
        <w:jc w:val="both"/>
      </w:pPr>
      <w:r w:rsidRPr="009548E1">
        <w:rPr>
          <w:i/>
          <w:color w:val="000000"/>
        </w:rPr>
        <w:t>8172 Povrat zajmova danih županijskim proračunima – kratkoročni 34.045.723,07 eura i dugoročni 2.295.625,07 eura,</w:t>
      </w:r>
    </w:p>
    <w:p w14:paraId="16EED0A0" w14:textId="77777777" w:rsidR="006440F9" w:rsidRPr="009548E1" w:rsidRDefault="006440F9" w:rsidP="006440F9">
      <w:pPr>
        <w:keepNext/>
        <w:numPr>
          <w:ilvl w:val="0"/>
          <w:numId w:val="3"/>
        </w:numPr>
        <w:contextualSpacing/>
      </w:pPr>
      <w:r w:rsidRPr="009548E1">
        <w:rPr>
          <w:i/>
          <w:color w:val="000000"/>
        </w:rPr>
        <w:t>8173 Povrat zajmova danih gradskim proračunima – kratkoročni 99.998.968,66 eura i dugoročni</w:t>
      </w:r>
      <w:r w:rsidRPr="009548E1">
        <w:t xml:space="preserve"> </w:t>
      </w:r>
      <w:r w:rsidRPr="009548E1">
        <w:rPr>
          <w:i/>
          <w:color w:val="000000"/>
        </w:rPr>
        <w:t>40.977.006,92 eura</w:t>
      </w:r>
      <w:r w:rsidRPr="009548E1">
        <w:rPr>
          <w:color w:val="000000"/>
        </w:rPr>
        <w:t>,</w:t>
      </w:r>
    </w:p>
    <w:p w14:paraId="62C65487" w14:textId="77777777" w:rsidR="006440F9" w:rsidRPr="009548E1" w:rsidRDefault="006440F9" w:rsidP="006440F9">
      <w:pPr>
        <w:numPr>
          <w:ilvl w:val="0"/>
          <w:numId w:val="3"/>
        </w:numPr>
        <w:tabs>
          <w:tab w:val="decimal" w:pos="7380"/>
        </w:tabs>
        <w:contextualSpacing/>
        <w:jc w:val="both"/>
        <w:rPr>
          <w:bCs/>
          <w:i/>
          <w:color w:val="000000"/>
        </w:rPr>
      </w:pPr>
      <w:r w:rsidRPr="009548E1">
        <w:rPr>
          <w:bCs/>
          <w:i/>
          <w:color w:val="000000"/>
        </w:rPr>
        <w:t>8174 Povrat zajmova danih općinskim proračunima – kratkoročni 39.835.949,21 eura i dugoročni</w:t>
      </w:r>
      <w:r w:rsidRPr="009548E1">
        <w:rPr>
          <w:bCs/>
          <w:color w:val="000000"/>
        </w:rPr>
        <w:t xml:space="preserve"> </w:t>
      </w:r>
      <w:r w:rsidRPr="009548E1">
        <w:rPr>
          <w:bCs/>
          <w:i/>
          <w:color w:val="000000"/>
        </w:rPr>
        <w:t xml:space="preserve"> 2.651.850,55 eura</w:t>
      </w:r>
      <w:r w:rsidRPr="009548E1">
        <w:rPr>
          <w:i/>
          <w:color w:val="000000"/>
        </w:rPr>
        <w:t xml:space="preserve">. </w:t>
      </w:r>
    </w:p>
    <w:p w14:paraId="6DA5A70A" w14:textId="77777777" w:rsidR="006440F9" w:rsidRPr="009548E1" w:rsidRDefault="006440F9" w:rsidP="006440F9">
      <w:pPr>
        <w:tabs>
          <w:tab w:val="decimal" w:pos="7380"/>
        </w:tabs>
        <w:jc w:val="both"/>
        <w:rPr>
          <w:bCs/>
          <w:color w:val="000000"/>
        </w:rPr>
      </w:pPr>
    </w:p>
    <w:p w14:paraId="07062F56" w14:textId="77777777" w:rsidR="006440F9" w:rsidRPr="009548E1" w:rsidRDefault="006440F9" w:rsidP="006440F9">
      <w:pPr>
        <w:tabs>
          <w:tab w:val="decimal" w:pos="7380"/>
        </w:tabs>
        <w:jc w:val="both"/>
        <w:rPr>
          <w:bCs/>
          <w:color w:val="000000"/>
        </w:rPr>
      </w:pPr>
      <w:r w:rsidRPr="009548E1">
        <w:rPr>
          <w:bCs/>
          <w:color w:val="000000"/>
        </w:rPr>
        <w:t xml:space="preserve">Osim povrata zajmova danih županijama, gradovima i općinama, u okviru ovog primitka evidentirani su i povrati zajmova danih HZMO-u, HZZ-u i HZZO-u (šifra 8175) u iznosu od 15.014.042,89 eura, a odnose se na povrat beskamatnog zajma isplaćenog tijekom 2020. godine Hrvatskom zavodu za zdravstveno osiguranje temeljem Naputka o načinu isplate sredstava beskamatnog zajma jedinicama lokalne i područne (regionalne) samouprave, Hrvatskom zavodu za mirovinsko osiguranje i Hrvatskom zavodu za zdravstveno osiguranje (Narodne novine, br. 46/20, 5/21 i 73/21). </w:t>
      </w:r>
    </w:p>
    <w:p w14:paraId="49E42D5D" w14:textId="14C2DFE0" w:rsidR="004B6BD3" w:rsidRPr="009548E1" w:rsidRDefault="004B6BD3" w:rsidP="00685FE5">
      <w:pPr>
        <w:tabs>
          <w:tab w:val="decimal" w:pos="7380"/>
        </w:tabs>
        <w:jc w:val="both"/>
        <w:rPr>
          <w:bCs/>
          <w:color w:val="000000"/>
        </w:rPr>
      </w:pPr>
    </w:p>
    <w:p w14:paraId="51AD2FD0" w14:textId="77777777" w:rsidR="004E6B96" w:rsidRPr="009548E1" w:rsidRDefault="00685FE5" w:rsidP="00F8564D">
      <w:pPr>
        <w:tabs>
          <w:tab w:val="decimal" w:pos="7380"/>
        </w:tabs>
        <w:jc w:val="both"/>
      </w:pPr>
      <w:r w:rsidRPr="009548E1">
        <w:rPr>
          <w:bCs/>
          <w:color w:val="000000"/>
        </w:rPr>
        <w:t xml:space="preserve">Dodatno, u okviru ovih primitaka evidentirani su i povrati danih zajmova ostalim izvanproračunskim korisnicima državnog proračuna (šifra 8176) u iznosu od </w:t>
      </w:r>
      <w:r w:rsidR="004B6BD3" w:rsidRPr="009548E1">
        <w:rPr>
          <w:bCs/>
          <w:color w:val="000000"/>
        </w:rPr>
        <w:t>23.959.902,64 eura</w:t>
      </w:r>
      <w:r w:rsidRPr="009548E1">
        <w:rPr>
          <w:bCs/>
          <w:color w:val="000000"/>
        </w:rPr>
        <w:t>, od čega se najveći dio odnosi na zajmove dane</w:t>
      </w:r>
      <w:r w:rsidRPr="009548E1">
        <w:t xml:space="preserve"> Hrvatskim autocestama d.o.o., Hrvatskim cestama d.o.o. te Autocesti Rijeka – Zagreb d.d.</w:t>
      </w:r>
    </w:p>
    <w:p w14:paraId="7C100F08" w14:textId="77777777" w:rsidR="00685FE5" w:rsidRPr="009548E1" w:rsidRDefault="00685FE5" w:rsidP="00685FE5">
      <w:pPr>
        <w:jc w:val="both"/>
      </w:pPr>
    </w:p>
    <w:p w14:paraId="0F1DA942" w14:textId="77777777" w:rsidR="00F8564D" w:rsidRPr="009548E1" w:rsidRDefault="00F8564D" w:rsidP="00F8564D">
      <w:pPr>
        <w:keepNext/>
        <w:jc w:val="both"/>
      </w:pPr>
      <w:r w:rsidRPr="009548E1">
        <w:t xml:space="preserve">U okviru primitka razreda 8, ove godine dio iznosa odnosi se na povrat zajmova danih tuzemnim trgovačkim društvima izvan javnog sektora (šifra 8163) ostvarenih u iznosu od 3.319.260,36 eura, odnosno za 15,4% manje od ostvarenja 2022. godine. U okviru navedenog primitka najznačajniji dio odnosi se na povrat zajma </w:t>
      </w:r>
      <w:proofErr w:type="spellStart"/>
      <w:r w:rsidRPr="009548E1">
        <w:t>Alpha</w:t>
      </w:r>
      <w:proofErr w:type="spellEnd"/>
      <w:r w:rsidRPr="009548E1">
        <w:t xml:space="preserve"> Adriatic d.d. (ranije Uljanik plovidba d.d.) u iznosu od 1.953.220,57 eura.</w:t>
      </w:r>
    </w:p>
    <w:p w14:paraId="7FF30C7C" w14:textId="77777777" w:rsidR="00F8564D" w:rsidRPr="009548E1" w:rsidRDefault="00F8564D" w:rsidP="004B6BD3">
      <w:pPr>
        <w:jc w:val="both"/>
      </w:pPr>
    </w:p>
    <w:p w14:paraId="3605A9A8" w14:textId="45F14CA8" w:rsidR="008757BE" w:rsidRPr="009548E1" w:rsidRDefault="002D2B2F" w:rsidP="008757BE">
      <w:pPr>
        <w:jc w:val="center"/>
        <w:rPr>
          <w:sz w:val="28"/>
          <w:szCs w:val="28"/>
        </w:rPr>
      </w:pPr>
      <w:r>
        <w:rPr>
          <w:sz w:val="28"/>
          <w:szCs w:val="28"/>
        </w:rPr>
        <w:t>Bilješka 41</w:t>
      </w:r>
      <w:r w:rsidR="008757BE" w:rsidRPr="009548E1">
        <w:rPr>
          <w:sz w:val="28"/>
          <w:szCs w:val="28"/>
        </w:rPr>
        <w:t>.</w:t>
      </w:r>
    </w:p>
    <w:p w14:paraId="124A637B" w14:textId="77777777" w:rsidR="008757BE" w:rsidRPr="009548E1" w:rsidRDefault="008757BE" w:rsidP="008757BE">
      <w:pPr>
        <w:jc w:val="center"/>
        <w:rPr>
          <w:sz w:val="28"/>
        </w:rPr>
      </w:pPr>
      <w:r w:rsidRPr="009548E1">
        <w:rPr>
          <w:sz w:val="28"/>
        </w:rPr>
        <w:t>Šifra 8211 Trezorski zapisi - tuzemni</w:t>
      </w:r>
    </w:p>
    <w:p w14:paraId="4AD72A2B" w14:textId="1CB2CB60" w:rsidR="008757BE" w:rsidRPr="009548E1" w:rsidRDefault="008757BE" w:rsidP="008757BE">
      <w:pPr>
        <w:jc w:val="both"/>
      </w:pPr>
      <w:r w:rsidRPr="009548E1">
        <w:t xml:space="preserve">Primici od tuzemnih trezorskih zapisa u 2023. godini ostvareni su u iznosu od 2.799.795.961,55 eura. Za primitke s osnove tuzemnih trezorskih zapisa u financijskom izvještaju državnog proračuna nema iskazanog podatka s obzirom na to da se </w:t>
      </w:r>
      <w:r w:rsidR="00E74598">
        <w:t xml:space="preserve">kratkoročni </w:t>
      </w:r>
      <w:r w:rsidRPr="009548E1">
        <w:t xml:space="preserve">primici i izdaci </w:t>
      </w:r>
      <w:r w:rsidR="00E74598">
        <w:t xml:space="preserve">od trezorskih zapisa </w:t>
      </w:r>
      <w:r w:rsidRPr="009548E1">
        <w:t>u financijskom izvještaju iskazuju u neto iznosu nakon što se sučele prema istovrsnim kategorijama.</w:t>
      </w:r>
    </w:p>
    <w:p w14:paraId="3B798E36" w14:textId="77777777" w:rsidR="008757BE" w:rsidRPr="009548E1" w:rsidRDefault="008757BE" w:rsidP="008757BE">
      <w:pPr>
        <w:jc w:val="both"/>
      </w:pPr>
    </w:p>
    <w:p w14:paraId="4151783F" w14:textId="77777777" w:rsidR="008757BE" w:rsidRPr="009548E1" w:rsidRDefault="008757BE" w:rsidP="008757BE">
      <w:pPr>
        <w:jc w:val="both"/>
      </w:pPr>
      <w:r w:rsidRPr="009548E1">
        <w:t xml:space="preserve">Ministarstvo financija provodi aukcije trezorskih zapisa u skladu s Pravilima i uvjetima aukcija trezorskih zapisa, koristeći se elektroničkim aukcijskim sustavom </w:t>
      </w:r>
      <w:proofErr w:type="spellStart"/>
      <w:r w:rsidRPr="009548E1">
        <w:t>Bloomberg</w:t>
      </w:r>
      <w:proofErr w:type="spellEnd"/>
      <w:r w:rsidRPr="009548E1">
        <w:t xml:space="preserve"> (BAS).</w:t>
      </w:r>
    </w:p>
    <w:p w14:paraId="6D7EDF6D" w14:textId="77777777" w:rsidR="008757BE" w:rsidRPr="009548E1" w:rsidRDefault="008757BE" w:rsidP="008757BE">
      <w:pPr>
        <w:jc w:val="both"/>
      </w:pPr>
    </w:p>
    <w:p w14:paraId="374E50EF" w14:textId="77777777" w:rsidR="008757BE" w:rsidRPr="009548E1" w:rsidRDefault="008757BE" w:rsidP="008757BE">
      <w:pPr>
        <w:jc w:val="both"/>
      </w:pPr>
      <w:r w:rsidRPr="009548E1">
        <w:t>Do kraja prosinca 2023. godine održano je 8 aukcija trezorskih zapisa na kojima je bilo ukupno 16 izdanja, od čega 7 izdanja s rokom dospijeća od 364 dana, 6 izdanja s rokom dospijeća od 182 dana  i 3 izdanja s rokom dospijeća od 91 dan.</w:t>
      </w:r>
    </w:p>
    <w:p w14:paraId="5283AFDF" w14:textId="77777777" w:rsidR="008757BE" w:rsidRPr="009548E1" w:rsidRDefault="008757BE" w:rsidP="008757BE">
      <w:pPr>
        <w:jc w:val="both"/>
      </w:pPr>
    </w:p>
    <w:p w14:paraId="20FEF00E" w14:textId="77777777" w:rsidR="008757BE" w:rsidRPr="009548E1" w:rsidRDefault="008757BE" w:rsidP="008757BE">
      <w:pPr>
        <w:jc w:val="both"/>
      </w:pPr>
      <w:r w:rsidRPr="009548E1">
        <w:t xml:space="preserve">Na aukcijama trezorskih zapisa do kraja prosinca 2023. godine izdano je ukupno 2,890 milijardi eura trezorskih zapisa, a istodobno je iskupljeno 2,914 milijardi eura. Stanje ukupno upisanih trezorskih zapisa smanjilo se s 2,700 milijardi eura koliko je iznosilo potkraj 2022. godine na 2,676 milijardi eura, koliko je iznosilo na kraju 2023. godine. </w:t>
      </w:r>
    </w:p>
    <w:p w14:paraId="6F4C0E18" w14:textId="77777777" w:rsidR="008757BE" w:rsidRPr="009548E1" w:rsidRDefault="008757BE" w:rsidP="008757BE">
      <w:pPr>
        <w:jc w:val="both"/>
      </w:pPr>
    </w:p>
    <w:p w14:paraId="53C593B9" w14:textId="77777777" w:rsidR="008757BE" w:rsidRPr="009548E1" w:rsidRDefault="008757BE" w:rsidP="008757BE">
      <w:pPr>
        <w:jc w:val="both"/>
      </w:pPr>
      <w:r w:rsidRPr="009548E1">
        <w:t xml:space="preserve">Trezorski zapisi su uvršteni u usluge </w:t>
      </w:r>
      <w:proofErr w:type="spellStart"/>
      <w:r w:rsidRPr="009548E1">
        <w:t>depozitorija</w:t>
      </w:r>
      <w:proofErr w:type="spellEnd"/>
      <w:r w:rsidRPr="009548E1">
        <w:t>, poravnanja i namire Središnjeg klirinškog depozitarnog društva d.d. te na Redovito tržište Zagrebačke burze.</w:t>
      </w:r>
    </w:p>
    <w:p w14:paraId="5DC0F45A" w14:textId="77777777" w:rsidR="008757BE" w:rsidRPr="009548E1" w:rsidRDefault="008757BE" w:rsidP="008757BE">
      <w:pPr>
        <w:jc w:val="both"/>
      </w:pPr>
    </w:p>
    <w:p w14:paraId="79004C9A" w14:textId="0F0905DA" w:rsidR="008757BE" w:rsidRPr="009548E1" w:rsidRDefault="00E74598" w:rsidP="008757BE">
      <w:pPr>
        <w:jc w:val="both"/>
      </w:pPr>
      <w:r>
        <w:t>Kratkoročni primici i izdaci u G</w:t>
      </w:r>
      <w:r w:rsidR="008757BE" w:rsidRPr="009548E1">
        <w:t>lavnoj knjizi državnog proračuna evidentiraju se sukladno odredbama Zakona o proračunu po bruto načelu odnosno u punom iznosu. Sukladno Uputi o primjeni modificiranog novčanog načela u postupku planiranja i izvršavanja državnog proračuna i financijskih planova izvanproračunskih korisnika državnog proračuna (KLASA: 401-01/15-01/131, URBROJ: 513-05-03-19-3) kratkoročni primici i izdaci planiraju se i iskazuju u neto iznosu prema istovrsnim kategorijama. U financijskom izvještaju državnog proračuna kratkoročni primici i izdaci iskazuju se u neto iznosu nakon što se iznosi kratkoročnih primitaka i izdataka međusobno sučele prema istovrsnim kategorijama.</w:t>
      </w:r>
    </w:p>
    <w:p w14:paraId="3F3B5674" w14:textId="1ADC23E8" w:rsidR="008757BE" w:rsidRPr="009548E1" w:rsidRDefault="002D2B2F" w:rsidP="008757BE">
      <w:pPr>
        <w:keepNext/>
        <w:jc w:val="center"/>
        <w:rPr>
          <w:sz w:val="28"/>
          <w:szCs w:val="28"/>
        </w:rPr>
      </w:pPr>
      <w:r>
        <w:rPr>
          <w:sz w:val="28"/>
          <w:szCs w:val="28"/>
        </w:rPr>
        <w:t>Bilješka 42</w:t>
      </w:r>
      <w:r w:rsidR="008757BE" w:rsidRPr="009548E1">
        <w:rPr>
          <w:sz w:val="28"/>
          <w:szCs w:val="28"/>
        </w:rPr>
        <w:t>.</w:t>
      </w:r>
    </w:p>
    <w:p w14:paraId="62706539" w14:textId="77777777" w:rsidR="008757BE" w:rsidRPr="009548E1" w:rsidRDefault="008757BE" w:rsidP="008757BE">
      <w:pPr>
        <w:keepNext/>
        <w:jc w:val="center"/>
        <w:rPr>
          <w:sz w:val="28"/>
          <w:szCs w:val="28"/>
        </w:rPr>
      </w:pPr>
      <w:r w:rsidRPr="009548E1">
        <w:rPr>
          <w:sz w:val="28"/>
          <w:szCs w:val="28"/>
        </w:rPr>
        <w:t>Šifra 8221 Obveznice - tuzemne</w:t>
      </w:r>
    </w:p>
    <w:p w14:paraId="0CE827AF" w14:textId="77777777" w:rsidR="008757BE" w:rsidRPr="009548E1" w:rsidRDefault="008757BE" w:rsidP="008757BE">
      <w:pPr>
        <w:keepNext/>
        <w:jc w:val="both"/>
      </w:pPr>
      <w:r w:rsidRPr="009548E1">
        <w:t>Primici od tuzemnih obveznica u 2023. ostvareni su u iznosu od 3.100.000.000,00 eura, što predstavlja povećanje od 41,2% u odnosu na ostvarenje u istom razdoblju 2022. godine.</w:t>
      </w:r>
    </w:p>
    <w:p w14:paraId="41470E3C" w14:textId="77777777" w:rsidR="008757BE" w:rsidRPr="009548E1" w:rsidRDefault="008757BE" w:rsidP="008757BE">
      <w:pPr>
        <w:jc w:val="both"/>
      </w:pPr>
    </w:p>
    <w:p w14:paraId="5DF9ED56" w14:textId="77777777" w:rsidR="008757BE" w:rsidRPr="009548E1" w:rsidRDefault="008757BE" w:rsidP="008757BE">
      <w:pPr>
        <w:spacing w:after="120"/>
        <w:jc w:val="both"/>
        <w:rPr>
          <w:rFonts w:eastAsia="Calibri"/>
        </w:rPr>
      </w:pPr>
      <w:r w:rsidRPr="009548E1">
        <w:rPr>
          <w:rFonts w:eastAsia="Calibri"/>
        </w:rPr>
        <w:t xml:space="preserve">Republika Hrvatska, zastupana po Ministarstvu financija, realizirala je na domaćem tržištu kapitala inauguralno izdanje obveznica dospijeća 2025. godine u nominalnom iznosu od EUR 1,85 milijardi namijenjenih, osim institucionalnim </w:t>
      </w:r>
      <w:proofErr w:type="spellStart"/>
      <w:r w:rsidRPr="009548E1">
        <w:rPr>
          <w:rFonts w:eastAsia="Calibri"/>
        </w:rPr>
        <w:t>ulagateljima</w:t>
      </w:r>
      <w:proofErr w:type="spellEnd"/>
      <w:r w:rsidRPr="009548E1">
        <w:rPr>
          <w:rFonts w:eastAsia="Calibri"/>
        </w:rPr>
        <w:t xml:space="preserve">, i fizičkim osobama. </w:t>
      </w:r>
    </w:p>
    <w:p w14:paraId="5812D867" w14:textId="77777777" w:rsidR="008757BE" w:rsidRPr="009548E1" w:rsidRDefault="008757BE" w:rsidP="008757BE">
      <w:pPr>
        <w:spacing w:after="120"/>
        <w:jc w:val="both"/>
        <w:rPr>
          <w:rFonts w:eastAsia="Calibri"/>
        </w:rPr>
      </w:pPr>
      <w:r w:rsidRPr="009548E1">
        <w:rPr>
          <w:rFonts w:eastAsia="Calibri"/>
        </w:rPr>
        <w:t xml:space="preserve">Upis obveznica provodio se u dva kruga pri čemu je prvi krug bio namijenjen za fizičke osobe (hrvatski državljani te strani državljani rezidenti u Republici Hrvatskoj), dok je drugi krug bio predviđen za institucionalne investitore. Novo izdanje Obveznica realizirano je uz cijenu od 100,000% i godišnju kamatnu stopu od 3,65%. </w:t>
      </w:r>
    </w:p>
    <w:p w14:paraId="6604D14A" w14:textId="77777777" w:rsidR="008757BE" w:rsidRPr="009548E1" w:rsidRDefault="008757BE" w:rsidP="008757BE">
      <w:pPr>
        <w:spacing w:after="120"/>
        <w:jc w:val="both"/>
        <w:rPr>
          <w:rFonts w:eastAsia="Calibri"/>
        </w:rPr>
      </w:pPr>
      <w:r w:rsidRPr="009548E1">
        <w:rPr>
          <w:rFonts w:eastAsia="Calibri"/>
        </w:rPr>
        <w:t xml:space="preserve">Obveznice su uvrštene u usluge </w:t>
      </w:r>
      <w:proofErr w:type="spellStart"/>
      <w:r w:rsidRPr="009548E1">
        <w:rPr>
          <w:rFonts w:eastAsia="Calibri"/>
        </w:rPr>
        <w:t>depozitorija</w:t>
      </w:r>
      <w:proofErr w:type="spellEnd"/>
      <w:r w:rsidRPr="009548E1">
        <w:rPr>
          <w:rFonts w:eastAsia="Calibri"/>
        </w:rPr>
        <w:t>, poravnanja i namire Središnjeg klirinškog depozitarnog društva d.d. te na Službeno tržište Zagrebačke burze.</w:t>
      </w:r>
    </w:p>
    <w:p w14:paraId="61DDF6F9" w14:textId="77777777" w:rsidR="008757BE" w:rsidRPr="009548E1" w:rsidRDefault="008757BE" w:rsidP="008757BE">
      <w:pPr>
        <w:jc w:val="both"/>
      </w:pPr>
      <w:r w:rsidRPr="009548E1">
        <w:t xml:space="preserve">Sredstva prikupljena ovim izdanjem iskorištena su, između ostalog, za refinanciranje </w:t>
      </w:r>
      <w:proofErr w:type="spellStart"/>
      <w:r w:rsidRPr="009548E1">
        <w:t>euroobveznica</w:t>
      </w:r>
      <w:proofErr w:type="spellEnd"/>
      <w:r w:rsidRPr="009548E1">
        <w:t xml:space="preserve"> Republike Hrvatske nominalnog iznosa 1,5 milijardi dolara koje su dospjele i isplaćene u travnju 2023. godine. Ove obveznice su izdane 2013. godine.</w:t>
      </w:r>
    </w:p>
    <w:p w14:paraId="1B58884C" w14:textId="77777777" w:rsidR="008757BE" w:rsidRPr="009548E1" w:rsidRDefault="008757BE" w:rsidP="008757BE">
      <w:pPr>
        <w:jc w:val="both"/>
      </w:pPr>
    </w:p>
    <w:p w14:paraId="57ABAC8B" w14:textId="74936A1C" w:rsidR="008757BE" w:rsidRPr="009548E1" w:rsidRDefault="008757BE" w:rsidP="00F12FAC">
      <w:pPr>
        <w:spacing w:after="200"/>
        <w:jc w:val="both"/>
      </w:pPr>
      <w:r w:rsidRPr="009548E1">
        <w:t>U studenom 2023. godine uspješno je realizirano još jedno izdanje obveznica na domaćem tržištu kapitala. Riječ je o obveznici dospijeća 2033. godine u nominalnom iznosu od 1,25 milijardi eura. Navedeno izdanje obveznice realizirano je uz cijenu od 99,505% i godišnju kamatnu stopu od 3,75%. Sredstva prikupljena ovim izdanjem iskorištena su za refinanciranje domaće obveznice Republike Hrvatske nominalnog iznosa 1,5 milijardi eura (integralno izdanje), koje su dospjele i isplaćene u studenom 2023. godine.</w:t>
      </w:r>
    </w:p>
    <w:p w14:paraId="70074515" w14:textId="77777777" w:rsidR="008757BE" w:rsidRPr="009548E1" w:rsidRDefault="008757BE" w:rsidP="008757BE">
      <w:pPr>
        <w:jc w:val="both"/>
      </w:pPr>
    </w:p>
    <w:p w14:paraId="61F228BE" w14:textId="5E9BD796" w:rsidR="008757BE" w:rsidRPr="009548E1" w:rsidRDefault="002D2B2F" w:rsidP="008757BE">
      <w:pPr>
        <w:keepNext/>
        <w:jc w:val="center"/>
        <w:rPr>
          <w:sz w:val="28"/>
          <w:szCs w:val="28"/>
        </w:rPr>
      </w:pPr>
      <w:r>
        <w:rPr>
          <w:sz w:val="28"/>
          <w:szCs w:val="28"/>
        </w:rPr>
        <w:t>Bilješka 43</w:t>
      </w:r>
      <w:r w:rsidR="008757BE" w:rsidRPr="009548E1">
        <w:rPr>
          <w:sz w:val="28"/>
          <w:szCs w:val="28"/>
        </w:rPr>
        <w:t>.</w:t>
      </w:r>
    </w:p>
    <w:p w14:paraId="2211F371" w14:textId="77777777" w:rsidR="008757BE" w:rsidRPr="009548E1" w:rsidRDefault="008757BE" w:rsidP="008757BE">
      <w:pPr>
        <w:keepNext/>
        <w:jc w:val="center"/>
        <w:rPr>
          <w:sz w:val="28"/>
          <w:szCs w:val="28"/>
        </w:rPr>
      </w:pPr>
      <w:r w:rsidRPr="009548E1">
        <w:rPr>
          <w:sz w:val="28"/>
          <w:szCs w:val="28"/>
        </w:rPr>
        <w:t>Šifra 8222 Obveznice - inozemne</w:t>
      </w:r>
    </w:p>
    <w:p w14:paraId="25B4F78A" w14:textId="77777777" w:rsidR="008757BE" w:rsidRPr="009548E1" w:rsidRDefault="008757BE" w:rsidP="008757BE">
      <w:pPr>
        <w:keepNext/>
        <w:jc w:val="both"/>
      </w:pPr>
      <w:r w:rsidRPr="009548E1">
        <w:t>Primici od inozemnih obveznica u 2023. ostvareni su u iznosu od 1.500.000.000,00 eura, što predstavlja povećanje od 19,6% u odnosu na ostvarenje u istom razdoblju 2022. godine.</w:t>
      </w:r>
    </w:p>
    <w:p w14:paraId="2A893988" w14:textId="77777777" w:rsidR="008757BE" w:rsidRPr="009548E1" w:rsidRDefault="008757BE" w:rsidP="008757BE">
      <w:pPr>
        <w:keepNext/>
        <w:jc w:val="both"/>
      </w:pPr>
    </w:p>
    <w:p w14:paraId="6D70EC6C" w14:textId="77777777" w:rsidR="008757BE" w:rsidRPr="009548E1" w:rsidRDefault="008757BE" w:rsidP="008757BE">
      <w:pPr>
        <w:spacing w:after="120"/>
        <w:jc w:val="both"/>
        <w:rPr>
          <w:rFonts w:eastAsia="Calibri"/>
        </w:rPr>
      </w:pPr>
      <w:r w:rsidRPr="009548E1">
        <w:rPr>
          <w:rFonts w:eastAsia="Calibri"/>
        </w:rPr>
        <w:t xml:space="preserve">Republika Hrvatska, zastupana po Ministarstvu financija, realizirala je na međunarodnom financijskom tržištu izdanje </w:t>
      </w:r>
      <w:proofErr w:type="spellStart"/>
      <w:r w:rsidRPr="009548E1">
        <w:rPr>
          <w:rFonts w:eastAsia="Calibri"/>
        </w:rPr>
        <w:t>euroobveznica</w:t>
      </w:r>
      <w:proofErr w:type="spellEnd"/>
      <w:r w:rsidRPr="009548E1">
        <w:rPr>
          <w:rFonts w:eastAsia="Calibri"/>
        </w:rPr>
        <w:t xml:space="preserve">, koje dospijevaju 2035. godine u nominalnom iznosu od 1,50 milijardi eura. Ovo izdanje obveznica realizirano je po cijeni od 99,560% i godišnju kamatnu stopu od 4,00%. </w:t>
      </w:r>
      <w:r w:rsidRPr="009548E1">
        <w:t>Voditelji izdanja bili su BNP Paribas, J.P. Morgan SE, Raiffeisen Bank International AG.</w:t>
      </w:r>
    </w:p>
    <w:p w14:paraId="530E8A30" w14:textId="26D998FE" w:rsidR="00D96307" w:rsidRPr="009548E1" w:rsidRDefault="00D96307"/>
    <w:p w14:paraId="6FD84447" w14:textId="0ECD873E" w:rsidR="00D96307" w:rsidRPr="009548E1" w:rsidRDefault="00D96307" w:rsidP="00D96307">
      <w:pPr>
        <w:keepNext/>
        <w:jc w:val="center"/>
        <w:rPr>
          <w:sz w:val="28"/>
          <w:szCs w:val="28"/>
        </w:rPr>
      </w:pPr>
      <w:r w:rsidRPr="009548E1">
        <w:rPr>
          <w:sz w:val="28"/>
          <w:szCs w:val="28"/>
        </w:rPr>
        <w:t xml:space="preserve">Bilješka </w:t>
      </w:r>
      <w:r w:rsidR="002D2B2F">
        <w:rPr>
          <w:sz w:val="28"/>
          <w:szCs w:val="28"/>
        </w:rPr>
        <w:t>44</w:t>
      </w:r>
      <w:r w:rsidRPr="009548E1">
        <w:rPr>
          <w:sz w:val="28"/>
          <w:szCs w:val="28"/>
        </w:rPr>
        <w:t>.</w:t>
      </w:r>
    </w:p>
    <w:p w14:paraId="56C046C3" w14:textId="77777777" w:rsidR="00D96307" w:rsidRPr="009548E1" w:rsidRDefault="00D96307" w:rsidP="00D96307">
      <w:pPr>
        <w:jc w:val="center"/>
        <w:rPr>
          <w:sz w:val="28"/>
          <w:szCs w:val="28"/>
        </w:rPr>
      </w:pPr>
      <w:r w:rsidRPr="009548E1">
        <w:rPr>
          <w:sz w:val="28"/>
          <w:szCs w:val="28"/>
        </w:rPr>
        <w:t>Šifra 83 Primici od prodaje dionica i udjela u glavnici</w:t>
      </w:r>
      <w:r w:rsidRPr="009548E1">
        <w:rPr>
          <w:rFonts w:ascii="Arial" w:hAnsi="Arial" w:cs="Arial"/>
          <w:color w:val="000000"/>
          <w:sz w:val="18"/>
          <w:szCs w:val="18"/>
        </w:rPr>
        <w:t xml:space="preserve"> </w:t>
      </w:r>
    </w:p>
    <w:p w14:paraId="29678121" w14:textId="73F884F1" w:rsidR="00D96307" w:rsidRPr="009548E1" w:rsidRDefault="00D96307" w:rsidP="005E728B">
      <w:pPr>
        <w:jc w:val="both"/>
      </w:pPr>
      <w:r w:rsidRPr="009548E1">
        <w:t xml:space="preserve">Primici od prodaje dionica i udjela u glavnici u 2023. godini ostvareni su u iznosu od </w:t>
      </w:r>
      <w:r w:rsidR="008757BE" w:rsidRPr="009548E1">
        <w:t>5.331.570,39</w:t>
      </w:r>
      <w:r w:rsidRPr="009548E1">
        <w:t xml:space="preserve"> eura</w:t>
      </w:r>
      <w:r w:rsidR="005E728B" w:rsidRPr="009548E1">
        <w:t>,</w:t>
      </w:r>
      <w:r w:rsidRPr="009548E1">
        <w:t xml:space="preserve"> odnosno za </w:t>
      </w:r>
      <w:r w:rsidR="00023FD5" w:rsidRPr="009548E1">
        <w:t>28,7</w:t>
      </w:r>
      <w:r w:rsidRPr="009548E1">
        <w:t>% manje</w:t>
      </w:r>
      <w:r w:rsidR="005E728B" w:rsidRPr="009548E1">
        <w:t xml:space="preserve"> od ostvarenja u istom razdoblju 2022. godine.</w:t>
      </w:r>
    </w:p>
    <w:p w14:paraId="02D1A41C" w14:textId="77777777" w:rsidR="00D96307" w:rsidRPr="009548E1" w:rsidRDefault="00D96307" w:rsidP="00D96307">
      <w:pPr>
        <w:rPr>
          <w:color w:val="000000"/>
        </w:rPr>
      </w:pPr>
    </w:p>
    <w:p w14:paraId="3F9186D6" w14:textId="727A2BC5" w:rsidR="00D96307" w:rsidRPr="009548E1" w:rsidRDefault="00D96307" w:rsidP="00AE39CF">
      <w:pPr>
        <w:jc w:val="both"/>
      </w:pPr>
      <w:r w:rsidRPr="009548E1">
        <w:t>U okviru navedenog primitka ove godine najznačajniji iznos odnosi se na primitke o</w:t>
      </w:r>
      <w:r w:rsidRPr="009548E1">
        <w:rPr>
          <w:color w:val="000000"/>
        </w:rPr>
        <w:t>d prodaje dionica i udjela</w:t>
      </w:r>
      <w:r w:rsidR="004E0FFA" w:rsidRPr="009548E1">
        <w:rPr>
          <w:color w:val="000000"/>
        </w:rPr>
        <w:t xml:space="preserve"> u glavnici tuzemnih trgovačkih društava</w:t>
      </w:r>
      <w:r w:rsidRPr="009548E1">
        <w:rPr>
          <w:color w:val="000000"/>
        </w:rPr>
        <w:t xml:space="preserve"> izvan javnog sektora </w:t>
      </w:r>
      <w:r w:rsidR="00AE39CF" w:rsidRPr="009548E1">
        <w:rPr>
          <w:color w:val="000000"/>
        </w:rPr>
        <w:t xml:space="preserve">(šifra 8341) </w:t>
      </w:r>
      <w:r w:rsidRPr="009548E1">
        <w:rPr>
          <w:color w:val="000000"/>
        </w:rPr>
        <w:t xml:space="preserve">u iznosu od </w:t>
      </w:r>
      <w:r w:rsidR="004E0FFA" w:rsidRPr="009548E1">
        <w:rPr>
          <w:color w:val="000000"/>
        </w:rPr>
        <w:t>5.331.570,39 eura</w:t>
      </w:r>
      <w:r w:rsidR="00AE39CF" w:rsidRPr="009548E1">
        <w:rPr>
          <w:color w:val="000000"/>
        </w:rPr>
        <w:t xml:space="preserve">. U okviru </w:t>
      </w:r>
      <w:r w:rsidR="007A4CE3" w:rsidRPr="009548E1">
        <w:rPr>
          <w:color w:val="000000"/>
        </w:rPr>
        <w:t xml:space="preserve">ovog </w:t>
      </w:r>
      <w:r w:rsidR="00AE39CF" w:rsidRPr="009548E1">
        <w:rPr>
          <w:color w:val="000000"/>
        </w:rPr>
        <w:t xml:space="preserve">primitka </w:t>
      </w:r>
      <w:r w:rsidR="00023FD5" w:rsidRPr="009548E1">
        <w:rPr>
          <w:color w:val="000000"/>
        </w:rPr>
        <w:t>evidentiraju se primici s osnove prodaje</w:t>
      </w:r>
      <w:r w:rsidR="00AE39CF" w:rsidRPr="009548E1">
        <w:rPr>
          <w:color w:val="000000"/>
        </w:rPr>
        <w:t xml:space="preserve"> dionica u vlasništvu Republike Hrvatske i Hrvatskoga zavoda za mirovinsko osiguranje kojima upravlja Centar za restrukturiranje i prodaju temeljem Zakona o upravljanju državnom imovinom.</w:t>
      </w:r>
    </w:p>
    <w:p w14:paraId="1C088957" w14:textId="235544B5" w:rsidR="00D96307" w:rsidRPr="009548E1" w:rsidRDefault="005E728B" w:rsidP="00F12FAC">
      <w:pPr>
        <w:jc w:val="both"/>
      </w:pPr>
      <w:r w:rsidRPr="009548E1">
        <w:t>P</w:t>
      </w:r>
      <w:r w:rsidR="00D96307" w:rsidRPr="009548E1">
        <w:t>rimici s osnove primitaka od dionica i udjela u glavnici inozemnih kreditnih i ostalih financijskih institucija</w:t>
      </w:r>
      <w:r w:rsidRPr="009548E1">
        <w:t xml:space="preserve"> (šifra 8332) nisu ostvareni u 2023. godini</w:t>
      </w:r>
      <w:r w:rsidR="00D96307" w:rsidRPr="009548E1">
        <w:t>, dok su u istom razdoblju 2022. godine ostvare</w:t>
      </w:r>
      <w:r w:rsidR="0014397B" w:rsidRPr="009548E1">
        <w:t xml:space="preserve">ni u iznosu od 430.010,48 eura. </w:t>
      </w:r>
      <w:r w:rsidR="00D96307" w:rsidRPr="009548E1">
        <w:t>Nai</w:t>
      </w:r>
      <w:r w:rsidR="00381106">
        <w:t>me, 3. siječnja 2022. godine u D</w:t>
      </w:r>
      <w:r w:rsidR="00D96307" w:rsidRPr="009548E1">
        <w:t>ržavni proračun uplaćen</w:t>
      </w:r>
      <w:r w:rsidR="00381106">
        <w:t>o je 430.010,48 eura</w:t>
      </w:r>
      <w:r w:rsidR="00D96307" w:rsidRPr="009548E1">
        <w:t xml:space="preserve">, a radi se o sredstvima regionalnog fonda rizičnog kapitala, temeljem Odluke o davanju suglasnosti Ministarstvu poduzetništva i obrta, Hrvatskoj agenciji za malo gospodarstvo, inovacije i investicije za preuzimanje obveza na teret sredstava Državnog proračuna RH za razdoblje od 2016. do 2024. godine za ulaganje u Enterprise </w:t>
      </w:r>
      <w:proofErr w:type="spellStart"/>
      <w:r w:rsidR="00D96307" w:rsidRPr="009548E1">
        <w:t>Innovation</w:t>
      </w:r>
      <w:proofErr w:type="spellEnd"/>
      <w:r w:rsidR="00D96307" w:rsidRPr="009548E1">
        <w:t xml:space="preserve"> </w:t>
      </w:r>
      <w:proofErr w:type="spellStart"/>
      <w:r w:rsidR="00D96307" w:rsidRPr="009548E1">
        <w:t>Fund</w:t>
      </w:r>
      <w:proofErr w:type="spellEnd"/>
      <w:r w:rsidR="00D96307" w:rsidRPr="009548E1">
        <w:t xml:space="preserve"> C.V. (Ugovor '</w:t>
      </w:r>
      <w:proofErr w:type="spellStart"/>
      <w:r w:rsidR="00D96307" w:rsidRPr="009548E1">
        <w:t>Subscription</w:t>
      </w:r>
      <w:proofErr w:type="spellEnd"/>
      <w:r w:rsidR="00D96307" w:rsidRPr="009548E1">
        <w:t xml:space="preserve"> </w:t>
      </w:r>
      <w:proofErr w:type="spellStart"/>
      <w:r w:rsidR="00D96307" w:rsidRPr="009548E1">
        <w:t>Agreement</w:t>
      </w:r>
      <w:proofErr w:type="spellEnd"/>
      <w:r w:rsidR="00D96307" w:rsidRPr="009548E1">
        <w:t xml:space="preserve"> </w:t>
      </w:r>
      <w:proofErr w:type="spellStart"/>
      <w:r w:rsidR="00D96307" w:rsidRPr="009548E1">
        <w:t>relating</w:t>
      </w:r>
      <w:proofErr w:type="spellEnd"/>
      <w:r w:rsidR="00D96307" w:rsidRPr="009548E1">
        <w:t xml:space="preserve"> to Enterprise </w:t>
      </w:r>
      <w:proofErr w:type="spellStart"/>
      <w:r w:rsidR="00D96307" w:rsidRPr="009548E1">
        <w:t>Innovation</w:t>
      </w:r>
      <w:proofErr w:type="spellEnd"/>
      <w:r w:rsidR="00D96307" w:rsidRPr="009548E1">
        <w:t xml:space="preserve"> </w:t>
      </w:r>
      <w:proofErr w:type="spellStart"/>
      <w:r w:rsidR="00D96307" w:rsidRPr="009548E1">
        <w:t>Fund</w:t>
      </w:r>
      <w:proofErr w:type="spellEnd"/>
      <w:r w:rsidR="00D96307" w:rsidRPr="009548E1">
        <w:t xml:space="preserve"> C.V.). Sredstva fonda se ulažu u tvrtke s namjerom da se s vremenom vlas</w:t>
      </w:r>
      <w:r w:rsidR="00381106">
        <w:t>nički udjeli prodaju i vrate u D</w:t>
      </w:r>
      <w:r w:rsidR="00D96307" w:rsidRPr="009548E1">
        <w:t>ržavni proračun slijedom čega su uplaćena sredstva od prodaje vlasničkih udjela tvrtki u koje fond ulaže</w:t>
      </w:r>
      <w:r w:rsidR="00381106">
        <w:t xml:space="preserve"> u iznosu od 430.010,48 eura</w:t>
      </w:r>
      <w:r w:rsidR="00D96307" w:rsidRPr="009548E1">
        <w:t>.</w:t>
      </w:r>
    </w:p>
    <w:p w14:paraId="612088D1" w14:textId="77777777" w:rsidR="0014397B" w:rsidRPr="009548E1" w:rsidRDefault="0014397B"/>
    <w:p w14:paraId="0E8994F7" w14:textId="6CCB5AAB" w:rsidR="009D295B" w:rsidRPr="009548E1" w:rsidRDefault="009D295B" w:rsidP="009D295B">
      <w:pPr>
        <w:jc w:val="center"/>
        <w:rPr>
          <w:sz w:val="28"/>
          <w:szCs w:val="28"/>
        </w:rPr>
      </w:pPr>
      <w:r w:rsidRPr="009548E1">
        <w:rPr>
          <w:sz w:val="28"/>
          <w:szCs w:val="28"/>
        </w:rPr>
        <w:t xml:space="preserve">Bilješka </w:t>
      </w:r>
      <w:r w:rsidR="002D2B2F">
        <w:rPr>
          <w:sz w:val="28"/>
          <w:szCs w:val="28"/>
        </w:rPr>
        <w:t>45</w:t>
      </w:r>
      <w:r w:rsidRPr="009548E1">
        <w:rPr>
          <w:sz w:val="28"/>
          <w:szCs w:val="28"/>
        </w:rPr>
        <w:t xml:space="preserve">. </w:t>
      </w:r>
    </w:p>
    <w:p w14:paraId="4F2490B6" w14:textId="77777777" w:rsidR="009D295B" w:rsidRPr="009548E1" w:rsidRDefault="009D295B" w:rsidP="009D295B">
      <w:pPr>
        <w:jc w:val="center"/>
        <w:rPr>
          <w:sz w:val="28"/>
          <w:szCs w:val="28"/>
        </w:rPr>
      </w:pPr>
      <w:r w:rsidRPr="009548E1">
        <w:rPr>
          <w:sz w:val="28"/>
          <w:szCs w:val="28"/>
        </w:rPr>
        <w:t xml:space="preserve">Šifra 84 </w:t>
      </w:r>
      <w:r w:rsidRPr="009548E1">
        <w:t xml:space="preserve"> </w:t>
      </w:r>
      <w:r w:rsidRPr="009548E1">
        <w:rPr>
          <w:sz w:val="28"/>
          <w:szCs w:val="28"/>
        </w:rPr>
        <w:t xml:space="preserve">Primici od zaduživanja </w:t>
      </w:r>
    </w:p>
    <w:p w14:paraId="48D06CCF" w14:textId="3245F000" w:rsidR="009D295B" w:rsidRPr="009548E1" w:rsidRDefault="009D295B" w:rsidP="007A4CE3">
      <w:pPr>
        <w:tabs>
          <w:tab w:val="left" w:pos="180"/>
          <w:tab w:val="left" w:pos="540"/>
        </w:tabs>
        <w:spacing w:after="120"/>
        <w:jc w:val="both"/>
      </w:pPr>
      <w:r w:rsidRPr="009548E1">
        <w:t xml:space="preserve">Primici od  zaduživanja u 2023. godini iznosili su </w:t>
      </w:r>
      <w:r w:rsidR="0014397B" w:rsidRPr="009548E1">
        <w:t>677.973.500,48 eura i za 64,2% su manji u odnosu na ostvarenje u 2022. godini</w:t>
      </w:r>
      <w:r w:rsidRPr="009548E1">
        <w:t>.</w:t>
      </w:r>
    </w:p>
    <w:p w14:paraId="7EEB211B" w14:textId="523BCF1E" w:rsidR="007A4CE3" w:rsidRDefault="009D295B" w:rsidP="007A4CE3">
      <w:pPr>
        <w:tabs>
          <w:tab w:val="left" w:pos="180"/>
          <w:tab w:val="left" w:pos="540"/>
        </w:tabs>
        <w:spacing w:after="120"/>
        <w:jc w:val="both"/>
      </w:pPr>
      <w:r w:rsidRPr="009548E1">
        <w:t>U okviru navedenog primitka ove godine najznačajniji iznos odnosi se na primljene kredite od tuzemnih kreditnih institucija izvan javnog sektora (šifra 844).</w:t>
      </w:r>
      <w:r w:rsidR="007A4CE3" w:rsidRPr="009548E1">
        <w:t xml:space="preserve"> U </w:t>
      </w:r>
      <w:r w:rsidR="007A4CE3" w:rsidRPr="009548E1">
        <w:rPr>
          <w:bCs/>
        </w:rPr>
        <w:t>2023. godini</w:t>
      </w:r>
      <w:r w:rsidR="007A4CE3" w:rsidRPr="009548E1">
        <w:t xml:space="preserve"> primljeni krediti od tuzemnih kreditnih institucija izvan javnog sektora ostvareni su u iznosu od 640 milijuna eura, dok su u istom razdoblju 2022. godine ostvareni u iznosu od 1.031.397.872,45 eura što predstavlja smanjenje od 37,9% u promatranom razdoblju. Republika Hrvatska se u siječnju 2023. godine zadužila putem dugoročnih kredita na domaćem financijskom tržištu u ukupnom iznosu od 640 milijuna eura i to kako slijedi: 240.000.000,00 eura kod Privredna banka Zagreb d.d., 300.000.000,00 eura kod Zagrebačka banka d.d., 100.000.000,00 eura kod RAIFFEISEN Bank.</w:t>
      </w:r>
    </w:p>
    <w:p w14:paraId="3E4639DE" w14:textId="5D76C65D" w:rsidR="00381106" w:rsidRPr="009548E1" w:rsidRDefault="00381106" w:rsidP="00381106">
      <w:pPr>
        <w:jc w:val="center"/>
        <w:rPr>
          <w:sz w:val="28"/>
          <w:szCs w:val="28"/>
        </w:rPr>
      </w:pPr>
      <w:r w:rsidRPr="009548E1">
        <w:rPr>
          <w:sz w:val="28"/>
          <w:szCs w:val="28"/>
        </w:rPr>
        <w:t xml:space="preserve">Bilješka </w:t>
      </w:r>
      <w:r>
        <w:rPr>
          <w:sz w:val="28"/>
          <w:szCs w:val="28"/>
        </w:rPr>
        <w:t>46</w:t>
      </w:r>
      <w:r w:rsidRPr="009548E1">
        <w:rPr>
          <w:sz w:val="28"/>
          <w:szCs w:val="28"/>
        </w:rPr>
        <w:t xml:space="preserve">. </w:t>
      </w:r>
    </w:p>
    <w:p w14:paraId="7FE3B490" w14:textId="6D05215C" w:rsidR="00381106" w:rsidRPr="00381106" w:rsidRDefault="00381106" w:rsidP="00381106">
      <w:pPr>
        <w:jc w:val="center"/>
        <w:rPr>
          <w:sz w:val="28"/>
          <w:szCs w:val="28"/>
        </w:rPr>
      </w:pPr>
      <w:r w:rsidRPr="00381106">
        <w:rPr>
          <w:sz w:val="28"/>
          <w:szCs w:val="28"/>
        </w:rPr>
        <w:t>Šifra 8413</w:t>
      </w:r>
      <w:r>
        <w:rPr>
          <w:sz w:val="28"/>
          <w:szCs w:val="28"/>
        </w:rPr>
        <w:t xml:space="preserve"> </w:t>
      </w:r>
      <w:r w:rsidRPr="00381106">
        <w:rPr>
          <w:sz w:val="28"/>
          <w:szCs w:val="28"/>
        </w:rPr>
        <w:t>Primljeni zajmovi od međunarodnih organizacija</w:t>
      </w:r>
    </w:p>
    <w:p w14:paraId="5220AAF1" w14:textId="3F7DFBB0" w:rsidR="009D295B" w:rsidRPr="009548E1" w:rsidRDefault="009D295B" w:rsidP="009D295B">
      <w:pPr>
        <w:tabs>
          <w:tab w:val="left" w:pos="180"/>
          <w:tab w:val="left" w:pos="540"/>
        </w:tabs>
        <w:spacing w:after="120"/>
        <w:jc w:val="both"/>
      </w:pPr>
      <w:r w:rsidRPr="009548E1">
        <w:t xml:space="preserve">Primljeni zajmovi od međunarodnih organizacija u 2023. godine ostvareni su u iznosu od 15.252.994,00 eura, dok su u istom razdoblju 2022. godine ostvareni u iznosu od </w:t>
      </w:r>
      <w:r w:rsidR="0014397B" w:rsidRPr="009548E1">
        <w:t>62.471.492,39</w:t>
      </w:r>
      <w:r w:rsidRPr="009548E1">
        <w:t xml:space="preserve"> eura, što predstavlja smanjenje od </w:t>
      </w:r>
      <w:r w:rsidR="0014397B" w:rsidRPr="009548E1">
        <w:t>75,6</w:t>
      </w:r>
      <w:r w:rsidRPr="009548E1">
        <w:t>% kroz promatrano razdoblje. Iznos ostvarenih primitaka od zajmova od međunarodnih organizacija u iznosu od 15,2 milijuna eura u 2023. godini odnosi se na IBRD zajam br. 90570 (Projekt učinkovitog pravosuđa za bolje poslovno okruženje). Ovim projektom financira se Projekt učinkovitog pravosuđa za bolje poslovno okruženje čija je svrha podrška Republici Hrvatskoj u daljnjem osnaživanju gospodarske klime i unaprjeđenju poslovnog okruženja s fokusom na podršku pravosudnom sektoru sa stajališta učinkovitosti, transparentnosti i troška.</w:t>
      </w:r>
    </w:p>
    <w:p w14:paraId="4A4AD317" w14:textId="0371BA00" w:rsidR="009D295B" w:rsidRDefault="009D295B"/>
    <w:p w14:paraId="423027E3" w14:textId="2E1E4E28" w:rsidR="00381106" w:rsidRPr="009548E1" w:rsidRDefault="00381106" w:rsidP="00381106">
      <w:pPr>
        <w:jc w:val="center"/>
        <w:rPr>
          <w:sz w:val="28"/>
          <w:szCs w:val="28"/>
        </w:rPr>
      </w:pPr>
      <w:r w:rsidRPr="009548E1">
        <w:rPr>
          <w:sz w:val="28"/>
          <w:szCs w:val="28"/>
        </w:rPr>
        <w:t xml:space="preserve">Bilješka </w:t>
      </w:r>
      <w:r>
        <w:rPr>
          <w:sz w:val="28"/>
          <w:szCs w:val="28"/>
        </w:rPr>
        <w:t>47</w:t>
      </w:r>
      <w:r w:rsidRPr="009548E1">
        <w:rPr>
          <w:sz w:val="28"/>
          <w:szCs w:val="28"/>
        </w:rPr>
        <w:t xml:space="preserve">. </w:t>
      </w:r>
    </w:p>
    <w:p w14:paraId="3CF94746" w14:textId="689943DE" w:rsidR="00381106" w:rsidRPr="00381106" w:rsidRDefault="00381106" w:rsidP="00381106">
      <w:pPr>
        <w:jc w:val="center"/>
        <w:rPr>
          <w:sz w:val="28"/>
          <w:szCs w:val="28"/>
        </w:rPr>
      </w:pPr>
      <w:r>
        <w:rPr>
          <w:sz w:val="28"/>
          <w:szCs w:val="28"/>
        </w:rPr>
        <w:t>Š</w:t>
      </w:r>
      <w:r w:rsidRPr="00381106">
        <w:rPr>
          <w:sz w:val="28"/>
          <w:szCs w:val="28"/>
        </w:rPr>
        <w:t>ifra 8414</w:t>
      </w:r>
      <w:r>
        <w:rPr>
          <w:sz w:val="28"/>
          <w:szCs w:val="28"/>
        </w:rPr>
        <w:t xml:space="preserve"> </w:t>
      </w:r>
      <w:r w:rsidRPr="00381106">
        <w:rPr>
          <w:sz w:val="28"/>
          <w:szCs w:val="28"/>
        </w:rPr>
        <w:t>Primljeni krediti i zajmovi od institucija i tijela EU</w:t>
      </w:r>
    </w:p>
    <w:p w14:paraId="3390F6A4" w14:textId="14F75424" w:rsidR="009D295B" w:rsidRPr="009548E1" w:rsidRDefault="009D295B" w:rsidP="009D295B">
      <w:pPr>
        <w:tabs>
          <w:tab w:val="left" w:pos="180"/>
          <w:tab w:val="left" w:pos="540"/>
        </w:tabs>
        <w:spacing w:after="120"/>
        <w:jc w:val="both"/>
      </w:pPr>
      <w:r w:rsidRPr="009548E1">
        <w:t>Primljeni krediti i zajm</w:t>
      </w:r>
      <w:r w:rsidR="00381106">
        <w:t>ovi od institucija i tijela EU</w:t>
      </w:r>
      <w:r w:rsidRPr="009548E1">
        <w:t xml:space="preserve"> u 2023. godine ostvareni su u iznosu od 16.590.351,00 eura dok su u istom razdoblju 2022. godine ostvareni u iznosu od 777.874.722,94 eura, što predstavlja smanjenje od 97,9% kroz promatrano razdoblje.</w:t>
      </w:r>
      <w:r w:rsidR="007A4CE3" w:rsidRPr="009548E1">
        <w:t xml:space="preserve"> </w:t>
      </w:r>
      <w:r w:rsidRPr="009548E1">
        <w:t>Iznos od 16.590.351,00 eura ostvaren u 2023. godini odnosi se na sredstva za provedbu financijskog instrumenta sukladno Nacionalnom planu za oporavak i otpornost usvojenog od strane Vlade RH i odobrenog od strane Europske komisije temeljem Provedbene Odluke Vijeća Europske unije o odobrenju ocjene plana za oporavak i otpornost Hrvatske od 20. srpnja 2021. (</w:t>
      </w:r>
      <w:proofErr w:type="spellStart"/>
      <w:r w:rsidRPr="009548E1">
        <w:t>Međuinstitucijski</w:t>
      </w:r>
      <w:proofErr w:type="spellEnd"/>
      <w:r w:rsidRPr="009548E1">
        <w:t xml:space="preserve"> predmet: 2021/0222 (NLE). </w:t>
      </w:r>
    </w:p>
    <w:p w14:paraId="15FF2228" w14:textId="0B18F5D6" w:rsidR="00381106" w:rsidRPr="009548E1" w:rsidRDefault="00381106" w:rsidP="00381106">
      <w:pPr>
        <w:jc w:val="center"/>
        <w:rPr>
          <w:sz w:val="28"/>
          <w:szCs w:val="28"/>
        </w:rPr>
      </w:pPr>
      <w:r w:rsidRPr="009548E1">
        <w:rPr>
          <w:sz w:val="28"/>
          <w:szCs w:val="28"/>
        </w:rPr>
        <w:t xml:space="preserve">Bilješka </w:t>
      </w:r>
      <w:r>
        <w:rPr>
          <w:sz w:val="28"/>
          <w:szCs w:val="28"/>
        </w:rPr>
        <w:t>48</w:t>
      </w:r>
      <w:r w:rsidRPr="009548E1">
        <w:rPr>
          <w:sz w:val="28"/>
          <w:szCs w:val="28"/>
        </w:rPr>
        <w:t xml:space="preserve">. </w:t>
      </w:r>
    </w:p>
    <w:p w14:paraId="77CE1140" w14:textId="09A97CDE" w:rsidR="00381106" w:rsidRPr="00381106" w:rsidRDefault="00381106" w:rsidP="00381106">
      <w:pPr>
        <w:jc w:val="center"/>
        <w:rPr>
          <w:sz w:val="28"/>
          <w:szCs w:val="28"/>
        </w:rPr>
      </w:pPr>
      <w:r>
        <w:rPr>
          <w:sz w:val="28"/>
          <w:szCs w:val="28"/>
        </w:rPr>
        <w:t>Šifra 842</w:t>
      </w:r>
      <w:r w:rsidR="00D629D4">
        <w:rPr>
          <w:sz w:val="28"/>
          <w:szCs w:val="28"/>
        </w:rPr>
        <w:t>2</w:t>
      </w:r>
      <w:r>
        <w:rPr>
          <w:sz w:val="28"/>
          <w:szCs w:val="28"/>
        </w:rPr>
        <w:t xml:space="preserve"> </w:t>
      </w:r>
      <w:r w:rsidRPr="00381106">
        <w:rPr>
          <w:sz w:val="28"/>
          <w:szCs w:val="28"/>
        </w:rPr>
        <w:t>Primljeni krediti i zajmovi od kreditnih institucija u javnom sektoru</w:t>
      </w:r>
    </w:p>
    <w:p w14:paraId="1324701B" w14:textId="7618539E" w:rsidR="007A4CE3" w:rsidRPr="009548E1" w:rsidRDefault="00212F4C" w:rsidP="007A4CE3">
      <w:pPr>
        <w:jc w:val="both"/>
      </w:pPr>
      <w:r w:rsidRPr="009548E1">
        <w:t>U</w:t>
      </w:r>
      <w:r w:rsidR="007A4CE3" w:rsidRPr="009548E1">
        <w:t xml:space="preserve"> 2023. godini nije bilo ostvarenih primitaka na ime primljenih kredita od kreditnih institucija u javnom sektoru, dok je u istom razdoblju 2022. godine ostvareno 19.200.418,39 eura primitaka što predstavlja stopostotno smanjenje kroz promatrano razdoblje. Naime, u 2022. godini HBOR je uplatio iznos od 1.150.116,44 eura na ime refundacije plaćenih računa za izgradnju Nove bolnice koje je KBC Rijeka financirao s izvora 31 Vlastiti prihodi i 43 Ostali prihodi za posebne namjene. Također, u okviru ovog primitka evidentirano je 18.050.301,94 eura s osnove ugovora o kreditu koji je Ministarstvo financija sklopilo s HBOR-om, a za potrebe realizacije ustupa i kupoprodaje tražbina HBOR-a prema tuzemnim trgovačkim društvima izvan javnog sektora. Detalji su klasificirani podaci sukladno Zakonu o tajnosti podataka kojim se uređuje pojam klasificiranih i neklasificiranih podataka. </w:t>
      </w:r>
    </w:p>
    <w:p w14:paraId="0D81D811" w14:textId="3BD216E3" w:rsidR="007A4CE3" w:rsidRDefault="007A4CE3" w:rsidP="007A4CE3">
      <w:pPr>
        <w:pStyle w:val="Naslov"/>
        <w:keepNext/>
        <w:jc w:val="both"/>
        <w:rPr>
          <w:b w:val="0"/>
          <w:bCs w:val="0"/>
          <w:sz w:val="24"/>
        </w:rPr>
      </w:pPr>
    </w:p>
    <w:p w14:paraId="520FDA34" w14:textId="45FD22EF" w:rsidR="006F5227" w:rsidRPr="009548E1" w:rsidRDefault="006F5227" w:rsidP="006F5227">
      <w:pPr>
        <w:jc w:val="center"/>
        <w:rPr>
          <w:sz w:val="28"/>
          <w:szCs w:val="28"/>
        </w:rPr>
      </w:pPr>
      <w:r w:rsidRPr="009548E1">
        <w:rPr>
          <w:sz w:val="28"/>
          <w:szCs w:val="28"/>
        </w:rPr>
        <w:t xml:space="preserve">Bilješka </w:t>
      </w:r>
      <w:r w:rsidR="004D7CE9">
        <w:rPr>
          <w:sz w:val="28"/>
          <w:szCs w:val="28"/>
        </w:rPr>
        <w:t>49</w:t>
      </w:r>
      <w:r w:rsidRPr="009548E1">
        <w:rPr>
          <w:sz w:val="28"/>
          <w:szCs w:val="28"/>
        </w:rPr>
        <w:t xml:space="preserve">. </w:t>
      </w:r>
    </w:p>
    <w:p w14:paraId="05C4DD22" w14:textId="4881163F" w:rsidR="006F5227" w:rsidRPr="006F5227" w:rsidRDefault="006F5227" w:rsidP="006F5227">
      <w:pPr>
        <w:pStyle w:val="Naslov"/>
        <w:keepNext/>
        <w:rPr>
          <w:b w:val="0"/>
          <w:bCs w:val="0"/>
          <w:szCs w:val="28"/>
        </w:rPr>
      </w:pPr>
      <w:r w:rsidRPr="006F5227">
        <w:rPr>
          <w:b w:val="0"/>
          <w:bCs w:val="0"/>
          <w:szCs w:val="28"/>
        </w:rPr>
        <w:t>Šifra 8424 Primljeni zajmovi od ostalih financijskih institucija u javnom sektoru</w:t>
      </w:r>
    </w:p>
    <w:p w14:paraId="494ACF2E" w14:textId="191B17B6" w:rsidR="007A4CE3" w:rsidRPr="009548E1" w:rsidRDefault="006F5227" w:rsidP="007A4CE3">
      <w:pPr>
        <w:pStyle w:val="Naslov"/>
        <w:keepNext/>
        <w:jc w:val="both"/>
        <w:rPr>
          <w:b w:val="0"/>
          <w:bCs w:val="0"/>
          <w:sz w:val="24"/>
        </w:rPr>
      </w:pPr>
      <w:r w:rsidRPr="006F5227">
        <w:rPr>
          <w:b w:val="0"/>
          <w:bCs w:val="0"/>
          <w:sz w:val="24"/>
        </w:rPr>
        <w:t>Primljeni zajmovi od ostalih financijskih institucija u javnom sektoru</w:t>
      </w:r>
      <w:r>
        <w:rPr>
          <w:b w:val="0"/>
          <w:bCs w:val="0"/>
          <w:sz w:val="24"/>
        </w:rPr>
        <w:t xml:space="preserve"> </w:t>
      </w:r>
      <w:r w:rsidR="007A4CE3" w:rsidRPr="009548E1">
        <w:rPr>
          <w:b w:val="0"/>
          <w:bCs w:val="0"/>
          <w:sz w:val="24"/>
        </w:rPr>
        <w:t xml:space="preserve">u 2023. godini ostvareni su u ukupnom iznosu od </w:t>
      </w:r>
      <w:r w:rsidR="00917597" w:rsidRPr="009548E1">
        <w:rPr>
          <w:b w:val="0"/>
          <w:bCs w:val="0"/>
          <w:sz w:val="24"/>
        </w:rPr>
        <w:t xml:space="preserve">52.531.707,99 </w:t>
      </w:r>
      <w:r w:rsidR="007A4CE3" w:rsidRPr="009548E1">
        <w:rPr>
          <w:b w:val="0"/>
          <w:bCs w:val="0"/>
          <w:sz w:val="24"/>
        </w:rPr>
        <w:t xml:space="preserve">eura. U financijskom izvještaju državnog proračuna iskazan je primitak s ove osnove u iznosu od </w:t>
      </w:r>
      <w:r w:rsidR="00917597" w:rsidRPr="009548E1">
        <w:rPr>
          <w:b w:val="0"/>
          <w:bCs w:val="0"/>
          <w:sz w:val="24"/>
        </w:rPr>
        <w:t>6.130.155,48</w:t>
      </w:r>
      <w:r w:rsidR="007A4CE3" w:rsidRPr="009548E1">
        <w:rPr>
          <w:b w:val="0"/>
          <w:bCs w:val="0"/>
          <w:sz w:val="24"/>
        </w:rPr>
        <w:t xml:space="preserve"> eura s obzirom na to da</w:t>
      </w:r>
      <w:r w:rsidR="007A4CE3" w:rsidRPr="009548E1">
        <w:t xml:space="preserve"> </w:t>
      </w:r>
      <w:r w:rsidR="007A4CE3" w:rsidRPr="009548E1">
        <w:rPr>
          <w:b w:val="0"/>
          <w:bCs w:val="0"/>
          <w:sz w:val="24"/>
        </w:rPr>
        <w:t xml:space="preserve">se kratkoročni primici i izdaci u financijskom izvještaju iskazuju u neto iznosu nakon što se sučele prema istovrsnim kategorijama. Primici s osnove primljenih zajmova od ostalih financijskih institucija u javnom sektoru u </w:t>
      </w:r>
      <w:r w:rsidR="00917597" w:rsidRPr="009548E1">
        <w:rPr>
          <w:b w:val="0"/>
          <w:bCs w:val="0"/>
          <w:sz w:val="24"/>
        </w:rPr>
        <w:t>2023. godini bilježe povećanje od 554,2</w:t>
      </w:r>
      <w:r w:rsidR="007A4CE3" w:rsidRPr="009548E1">
        <w:rPr>
          <w:b w:val="0"/>
          <w:bCs w:val="0"/>
          <w:sz w:val="24"/>
        </w:rPr>
        <w:t xml:space="preserve">% u odnosu na </w:t>
      </w:r>
      <w:r w:rsidR="00917597" w:rsidRPr="009548E1">
        <w:rPr>
          <w:b w:val="0"/>
          <w:bCs w:val="0"/>
          <w:sz w:val="24"/>
        </w:rPr>
        <w:t>2022. godinu</w:t>
      </w:r>
      <w:r w:rsidR="007A4CE3" w:rsidRPr="009548E1">
        <w:rPr>
          <w:b w:val="0"/>
          <w:bCs w:val="0"/>
          <w:sz w:val="24"/>
        </w:rPr>
        <w:t>.</w:t>
      </w:r>
    </w:p>
    <w:p w14:paraId="05298F5A" w14:textId="77777777" w:rsidR="004D7CE9" w:rsidRDefault="004D7CE9" w:rsidP="00F12FAC">
      <w:pPr>
        <w:pStyle w:val="xdefault"/>
        <w:shd w:val="clear" w:color="auto" w:fill="FFFFFF"/>
        <w:spacing w:before="0" w:beforeAutospacing="0" w:after="0" w:afterAutospacing="0"/>
        <w:jc w:val="both"/>
      </w:pPr>
    </w:p>
    <w:p w14:paraId="41B3B210" w14:textId="5383DFB2" w:rsidR="00F12FAC" w:rsidRPr="009548E1" w:rsidRDefault="007A4CE3" w:rsidP="00F12FAC">
      <w:pPr>
        <w:pStyle w:val="xdefault"/>
        <w:shd w:val="clear" w:color="auto" w:fill="FFFFFF"/>
        <w:spacing w:before="0" w:beforeAutospacing="0" w:after="0" w:afterAutospacing="0"/>
        <w:jc w:val="both"/>
      </w:pPr>
      <w:r w:rsidRPr="009548E1">
        <w:t>Kratkoročni primici i izdaci u glavnoj knjizi državnog proračuna evidentiraju se sukladno odredbama Zakona o proračunu po bruto načelu odnosno u punom iznosu. Sukladno Uputi o primjeni modificiranog novčanog načela u postupku planiranja i izvršavanja državnog proračuna i financijskih planova izvanproračunskih korisnika državnog proračuna (KLASA: 401-01/15-01/131, URBROJ: 513-05-03-19-3) kratkoročni primici i izdaci planiraju se i iskazuju u neto iznosu prema istovrsnim kategorijama. U financijskom izvještaju državnog proračuna kratkoročni primici i izdaci iskazuju se u neto iznosu nakon što se iznosi kratkoročnih primitaka i izdataka međusobno sučele prema istovrsnim kategorijama.</w:t>
      </w:r>
    </w:p>
    <w:p w14:paraId="22A600E3" w14:textId="77777777" w:rsidR="00F12FAC" w:rsidRPr="009548E1" w:rsidRDefault="00F12FAC" w:rsidP="00F12FAC">
      <w:pPr>
        <w:pStyle w:val="xdefault"/>
        <w:shd w:val="clear" w:color="auto" w:fill="FFFFFF"/>
        <w:spacing w:before="0" w:beforeAutospacing="0" w:after="0" w:afterAutospacing="0"/>
        <w:jc w:val="both"/>
      </w:pPr>
    </w:p>
    <w:p w14:paraId="25C2E814" w14:textId="1258FAA8" w:rsidR="00F12FAC" w:rsidRPr="009548E1" w:rsidRDefault="004D7CE9" w:rsidP="00F12FAC">
      <w:pPr>
        <w:keepNext/>
        <w:jc w:val="center"/>
        <w:rPr>
          <w:sz w:val="28"/>
        </w:rPr>
      </w:pPr>
      <w:r>
        <w:rPr>
          <w:sz w:val="28"/>
        </w:rPr>
        <w:t>Bilješka 50</w:t>
      </w:r>
      <w:r w:rsidR="00F12FAC" w:rsidRPr="009548E1">
        <w:rPr>
          <w:sz w:val="28"/>
        </w:rPr>
        <w:t>.</w:t>
      </w:r>
    </w:p>
    <w:p w14:paraId="414E200E" w14:textId="77777777" w:rsidR="00F12FAC" w:rsidRPr="009548E1" w:rsidRDefault="00F12FAC" w:rsidP="00F12FAC">
      <w:pPr>
        <w:spacing w:after="240"/>
        <w:jc w:val="center"/>
        <w:rPr>
          <w:sz w:val="28"/>
          <w:szCs w:val="28"/>
        </w:rPr>
      </w:pPr>
      <w:r w:rsidRPr="009548E1">
        <w:rPr>
          <w:sz w:val="28"/>
          <w:szCs w:val="28"/>
        </w:rPr>
        <w:t xml:space="preserve">Šifra 5 Izdaci za financijsku imovinu i otplate zajmova </w:t>
      </w:r>
    </w:p>
    <w:p w14:paraId="6D309C4A" w14:textId="77777777" w:rsidR="00F12FAC" w:rsidRPr="009548E1" w:rsidRDefault="00F12FAC" w:rsidP="00F12FAC">
      <w:pPr>
        <w:jc w:val="both"/>
      </w:pPr>
      <w:r w:rsidRPr="009548E1">
        <w:t>Izdaci za financijsku imovinu i otplate zajmova u 2023. godini izvršeni su u ukupnom iznosu od 4.380.472.658,98 eura, dok su u istom razdoblju 2022. godine izvršeni u iznosu od 6.196.807.004,82 eura, što predstavlja smanjenje od 29,9% u promatranom razdoblju.</w:t>
      </w:r>
    </w:p>
    <w:p w14:paraId="7CE8AF9A" w14:textId="77777777" w:rsidR="00F12FAC" w:rsidRPr="009548E1" w:rsidRDefault="00F12FAC" w:rsidP="00F12FAC">
      <w:pPr>
        <w:jc w:val="both"/>
      </w:pPr>
      <w:r w:rsidRPr="009548E1">
        <w:t>Izdaci za financijsku imovinu i otplate zajmova obuhvaćaju dugoročne i kratkoročne izdatke za financijsku imovinu i otplate zajmova.</w:t>
      </w:r>
    </w:p>
    <w:p w14:paraId="05A5965E" w14:textId="77777777" w:rsidR="00F12FAC" w:rsidRPr="009548E1" w:rsidRDefault="00F12FAC" w:rsidP="00F12FAC"/>
    <w:p w14:paraId="3C864B85" w14:textId="77777777" w:rsidR="00F12FAC" w:rsidRPr="009548E1" w:rsidRDefault="00F12FAC" w:rsidP="00F12FAC">
      <w:pPr>
        <w:jc w:val="both"/>
      </w:pPr>
      <w:r w:rsidRPr="009548E1">
        <w:t>Kratkoročni primici i izdaci u glavnoj knjizi državnog proračuna evidentiraju se sukladno odredbama Zakona o proračunu po bruto načelu odnosno u punom iznosu. Sukladno Uputi o primjeni modificiranog novčanog načela u postupku planiranja i izvršavanja državnog proračuna i financijskih planova izvanproračunskih korisnika državnog proračuna (KLASA: 401-01/15-01/131, URBROJ: 513-05-03-19-3) kratkoročni primici i izdaci planiraju se i iskazuju u neto iznosu prema istovrsnim kategorijama. U financijskom izvještaju državnog proračuna kratkoročni primici i izdaci iskazuju se u neto iznosu nakon što se iznosi kratkoročnih primitaka i izdataka međusobno sučele prema istovrsnim kategorijama.</w:t>
      </w:r>
    </w:p>
    <w:p w14:paraId="74D16BCF" w14:textId="15F996E4" w:rsidR="00F12FAC" w:rsidRPr="009548E1" w:rsidRDefault="004D7CE9" w:rsidP="00F12FAC">
      <w:pPr>
        <w:keepNext/>
        <w:jc w:val="center"/>
        <w:rPr>
          <w:sz w:val="28"/>
        </w:rPr>
      </w:pPr>
      <w:r>
        <w:rPr>
          <w:sz w:val="28"/>
        </w:rPr>
        <w:t>Bilješka 51</w:t>
      </w:r>
      <w:r w:rsidR="00F12FAC" w:rsidRPr="009548E1">
        <w:rPr>
          <w:sz w:val="28"/>
        </w:rPr>
        <w:t>.</w:t>
      </w:r>
    </w:p>
    <w:p w14:paraId="2121EC45" w14:textId="77777777" w:rsidR="00F12FAC" w:rsidRPr="009548E1" w:rsidRDefault="00F12FAC" w:rsidP="004D7CE9">
      <w:pPr>
        <w:jc w:val="center"/>
        <w:rPr>
          <w:sz w:val="28"/>
          <w:szCs w:val="28"/>
        </w:rPr>
      </w:pPr>
      <w:r w:rsidRPr="009548E1">
        <w:rPr>
          <w:sz w:val="28"/>
          <w:szCs w:val="28"/>
        </w:rPr>
        <w:t xml:space="preserve">Šifra 51 Izdaci za dane zajmove i depozite </w:t>
      </w:r>
    </w:p>
    <w:p w14:paraId="2D71E783" w14:textId="77777777" w:rsidR="00F12FAC" w:rsidRPr="009548E1" w:rsidRDefault="00F12FAC" w:rsidP="00F12FAC">
      <w:pPr>
        <w:jc w:val="both"/>
      </w:pPr>
      <w:r w:rsidRPr="009548E1">
        <w:t>Izdaci za dane zajmove i depozite u 2023. godini izvršeni su u ukupnom iznosu od 281.590.351,00 eura, dok su u istom razdoblju 2022. godine izvršeni u iznosu od 6.196.807.004,82 eura, što predstavlja smanjenje od 29,3% u promatranom razdoblju.</w:t>
      </w:r>
    </w:p>
    <w:p w14:paraId="30380B6A" w14:textId="77777777" w:rsidR="004D7CE9" w:rsidRDefault="004D7CE9" w:rsidP="004D7CE9">
      <w:pPr>
        <w:pStyle w:val="Odlomakpopisa"/>
        <w:spacing w:after="240"/>
        <w:jc w:val="both"/>
        <w:rPr>
          <w:rFonts w:ascii="Calibri" w:hAnsi="Calibri" w:cs="Calibri"/>
          <w:color w:val="000000"/>
        </w:rPr>
      </w:pPr>
    </w:p>
    <w:p w14:paraId="5342B03E" w14:textId="1F8FFE77" w:rsidR="004D7CE9" w:rsidRPr="004D7CE9" w:rsidRDefault="004D7CE9" w:rsidP="004D7CE9">
      <w:pPr>
        <w:keepNext/>
        <w:jc w:val="center"/>
        <w:rPr>
          <w:sz w:val="28"/>
        </w:rPr>
      </w:pPr>
      <w:r>
        <w:rPr>
          <w:sz w:val="28"/>
        </w:rPr>
        <w:t>Bilješka 52.</w:t>
      </w:r>
    </w:p>
    <w:p w14:paraId="703D8D88" w14:textId="12BC0CC6" w:rsidR="00F12FAC" w:rsidRPr="004D7CE9" w:rsidRDefault="004D7CE9" w:rsidP="004D7CE9">
      <w:pPr>
        <w:pStyle w:val="Odlomakpopisa"/>
        <w:jc w:val="both"/>
        <w:rPr>
          <w:sz w:val="28"/>
          <w:szCs w:val="28"/>
        </w:rPr>
      </w:pPr>
      <w:r w:rsidRPr="004D7CE9">
        <w:rPr>
          <w:rFonts w:ascii="Calibri" w:hAnsi="Calibri" w:cs="Calibri"/>
          <w:color w:val="000000"/>
          <w:sz w:val="28"/>
          <w:szCs w:val="28"/>
        </w:rPr>
        <w:t>Š</w:t>
      </w:r>
      <w:r w:rsidR="00F12FAC" w:rsidRPr="004D7CE9">
        <w:rPr>
          <w:sz w:val="28"/>
          <w:szCs w:val="28"/>
        </w:rPr>
        <w:t>ifra 5132</w:t>
      </w:r>
      <w:r w:rsidRPr="004D7CE9">
        <w:rPr>
          <w:sz w:val="28"/>
          <w:szCs w:val="28"/>
        </w:rPr>
        <w:t xml:space="preserve"> Dani zajmovi kreditnim institucijama u javnom sektoru</w:t>
      </w:r>
    </w:p>
    <w:p w14:paraId="046B7D8A" w14:textId="0BB5F4A6" w:rsidR="00F12FAC" w:rsidRPr="009548E1" w:rsidRDefault="004D7CE9" w:rsidP="00F12FAC">
      <w:pPr>
        <w:jc w:val="both"/>
      </w:pPr>
      <w:r>
        <w:t xml:space="preserve">U 2023. godini ostvareno je 265.000.000,00 eura izdataka za dane zajmove kreditnim institucijama u javnom sektoru, što je 99,7% više u odnosu na ostvarenje u 2022. godini. </w:t>
      </w:r>
      <w:r w:rsidR="00F12FAC" w:rsidRPr="009548E1">
        <w:t>Republika Hrvatska - Ministarstvo financija i HBOR zaključili su dana 15. prosinca 2023. godine Ugovor o zajmu broj: 1/2023 na iznos od 265.000.000,00 eura s datumom isplate 15.12.2023. godine. Sredstva zajma HBOR koristi za osiguranje likvidnosti i provođenje kreditne aktivnosti. Na isplaćeni iznos zajma obračunava se kamata po fiksnoj stopi od 3,75% godišnje, a  HBOR otplaćuje isplaćeni iznos u jednokratnim tromjesečnim ratama, od kojih prva tromjesečna rata dospijeva 15.04.2025., a zadnja tromjesečna rata dospijeva 15.01.2034.</w:t>
      </w:r>
    </w:p>
    <w:p w14:paraId="2ABBD699" w14:textId="1E44E999" w:rsidR="00F12FAC" w:rsidRDefault="00F12FAC" w:rsidP="00F12FAC">
      <w:pPr>
        <w:jc w:val="both"/>
        <w:rPr>
          <w:i/>
        </w:rPr>
      </w:pPr>
    </w:p>
    <w:p w14:paraId="3F173BD1" w14:textId="623E9865" w:rsidR="004D7CE9" w:rsidRPr="004D7CE9" w:rsidRDefault="004D7CE9" w:rsidP="004D7CE9">
      <w:pPr>
        <w:keepNext/>
        <w:jc w:val="center"/>
        <w:rPr>
          <w:sz w:val="28"/>
        </w:rPr>
      </w:pPr>
      <w:r>
        <w:rPr>
          <w:sz w:val="28"/>
        </w:rPr>
        <w:t>Bilješka 53.</w:t>
      </w:r>
    </w:p>
    <w:p w14:paraId="03247FA8" w14:textId="3F44D108" w:rsidR="00F12FAC" w:rsidRPr="004D7CE9" w:rsidRDefault="00F12FAC" w:rsidP="004D7CE9">
      <w:pPr>
        <w:pStyle w:val="Odlomakpopisa"/>
        <w:spacing w:after="240"/>
        <w:jc w:val="center"/>
        <w:rPr>
          <w:sz w:val="28"/>
          <w:szCs w:val="28"/>
        </w:rPr>
      </w:pPr>
      <w:r w:rsidRPr="004D7CE9">
        <w:rPr>
          <w:sz w:val="28"/>
          <w:szCs w:val="28"/>
        </w:rPr>
        <w:t>Šifra 5163</w:t>
      </w:r>
      <w:r w:rsidR="004D7CE9" w:rsidRPr="004D7CE9">
        <w:rPr>
          <w:sz w:val="28"/>
          <w:szCs w:val="28"/>
        </w:rPr>
        <w:t xml:space="preserve"> Dani zajmovi tuzemnim trgovačkim društvima izvan javnog sektora</w:t>
      </w:r>
    </w:p>
    <w:p w14:paraId="2A41FBDE" w14:textId="77777777" w:rsidR="00F12FAC" w:rsidRPr="009548E1" w:rsidRDefault="00F12FAC" w:rsidP="00F12FAC">
      <w:pPr>
        <w:pStyle w:val="Odlomakpopisa"/>
        <w:ind w:left="360"/>
        <w:jc w:val="both"/>
        <w:rPr>
          <w:i/>
        </w:rPr>
      </w:pPr>
    </w:p>
    <w:p w14:paraId="40683118" w14:textId="77777777" w:rsidR="00F12FAC" w:rsidRPr="009548E1" w:rsidRDefault="00F12FAC" w:rsidP="00F12FAC">
      <w:pPr>
        <w:pStyle w:val="Odlomakpopisa"/>
        <w:ind w:left="0"/>
        <w:jc w:val="both"/>
      </w:pPr>
      <w:r w:rsidRPr="009548E1">
        <w:t>U</w:t>
      </w:r>
      <w:r w:rsidRPr="009548E1">
        <w:rPr>
          <w:i/>
        </w:rPr>
        <w:t xml:space="preserve"> </w:t>
      </w:r>
      <w:r w:rsidRPr="009548E1">
        <w:t>2022. godini HBOR, Ministarstvo financija, kao tijelo nadležno za koordinaciju praćenja provedbe NPOO-a 2021.-2026., i Ministarstvo gospodarstva i održivog razvoja, kao tijelo nadležno za komponentu/</w:t>
      </w:r>
      <w:proofErr w:type="spellStart"/>
      <w:r w:rsidRPr="009548E1">
        <w:t>podkomponentu</w:t>
      </w:r>
      <w:proofErr w:type="spellEnd"/>
      <w:r w:rsidRPr="009548E1">
        <w:t xml:space="preserve"> NPOO-a 2021.-2026., sklopili su Sporazum o delegiranim poslovima u svrhu uspostave Financijskog instrumenta izravnih kredita HBOR-a iznosa iznad 100 000 EUR za mikro, male i srednje poslovne subjekte. Inicijalno raspoloživa sredstva namijenjena za ovaj financijski instrument iznose 500 milijuna kuna. Sporazumom se ovlašćuje HBOR na provedbu i upravljanje s financijskim instrumentom, u svoje ime, a za račun i na rizik Republike Hrvatske. Financijski instrument provodi se izravnim odobrenjem kredita od strane HBOR-a, u skladu s investicijskom politikom. Temeljem investicijske politike HBOR izrađuje plan povlačenja raspoloživih sredstava koja su osigurana u državnom proračunu. </w:t>
      </w:r>
    </w:p>
    <w:p w14:paraId="78302E19" w14:textId="77777777" w:rsidR="00F12FAC" w:rsidRPr="009548E1" w:rsidRDefault="00F12FAC" w:rsidP="00F12FAC">
      <w:pPr>
        <w:ind w:left="360"/>
        <w:jc w:val="both"/>
      </w:pPr>
    </w:p>
    <w:p w14:paraId="6B6560C0" w14:textId="77777777" w:rsidR="00F12FAC" w:rsidRPr="009548E1" w:rsidRDefault="00F12FAC" w:rsidP="00F12FAC">
      <w:pPr>
        <w:jc w:val="both"/>
      </w:pPr>
      <w:r w:rsidRPr="009548E1">
        <w:t>U 2023. godini Ministarstvo financija je sukladno spomenutom Sporazumu, a na temelju plana povlačenja i zahtjeva za plaćanje dostavljenog od strane HBOR-a isplatilo iznos od 16.590.351,00 eura na ime danih zajmova tuzemnim trgovačkim društvima izvan javnog sektora. U skladu s Uputom Ministarstva financija (KLASA: 400-02/22-01/54 URBROJ:513-05-03-22-1) od 29. prosinca 2022. doznačavanje sredstava krajnjim primateljima putem posrednika HBOR-a, evidentira se na osnovnim računima prema krajnjim primateljima, a ne kao da je dan zajam HBOR-u.</w:t>
      </w:r>
    </w:p>
    <w:p w14:paraId="2B3DA6B4" w14:textId="5EB4C432" w:rsidR="00F12FAC" w:rsidRDefault="00F12FAC" w:rsidP="00F12FAC">
      <w:pPr>
        <w:ind w:left="360"/>
        <w:jc w:val="both"/>
      </w:pPr>
    </w:p>
    <w:p w14:paraId="04E33FDD" w14:textId="33454014" w:rsidR="004D7CE9" w:rsidRPr="004D7CE9" w:rsidRDefault="004D7CE9" w:rsidP="004D7CE9">
      <w:pPr>
        <w:keepNext/>
        <w:jc w:val="center"/>
        <w:rPr>
          <w:sz w:val="28"/>
        </w:rPr>
      </w:pPr>
      <w:r>
        <w:rPr>
          <w:sz w:val="28"/>
        </w:rPr>
        <w:t>Bilješka 54.</w:t>
      </w:r>
    </w:p>
    <w:p w14:paraId="77311217" w14:textId="6850212A" w:rsidR="00F12FAC" w:rsidRPr="004D7CE9" w:rsidRDefault="00F12FAC" w:rsidP="004D7CE9">
      <w:pPr>
        <w:pStyle w:val="Odlomakpopisa"/>
        <w:jc w:val="center"/>
        <w:rPr>
          <w:sz w:val="28"/>
          <w:szCs w:val="28"/>
        </w:rPr>
      </w:pPr>
      <w:r w:rsidRPr="004D7CE9">
        <w:rPr>
          <w:sz w:val="28"/>
          <w:szCs w:val="28"/>
        </w:rPr>
        <w:t>Šifra 517</w:t>
      </w:r>
      <w:r w:rsidR="004D7CE9" w:rsidRPr="004D7CE9">
        <w:rPr>
          <w:sz w:val="28"/>
          <w:szCs w:val="28"/>
        </w:rPr>
        <w:t xml:space="preserve"> Dani zajmovi drugim razinama vlasti</w:t>
      </w:r>
    </w:p>
    <w:p w14:paraId="3090003B" w14:textId="77777777" w:rsidR="00F12FAC" w:rsidRPr="009548E1" w:rsidRDefault="00F12FAC" w:rsidP="00F12FAC">
      <w:pPr>
        <w:tabs>
          <w:tab w:val="decimal" w:pos="7380"/>
        </w:tabs>
        <w:jc w:val="both"/>
      </w:pPr>
      <w:r w:rsidRPr="009548E1">
        <w:t>Izdaci za dane zajmove drugim razinama vlasti izvršeni su u 2023. godini u iznosu od 171.265.468,64 eura. Za izdatke za dane zajmove drugim razinama vlasti nema iskazanog podatka u financijskom izvještaju državnog proračuna s obzirom na to da se kratkoročni primici i izdaci iskazuju u neto iznosu nakon što se sučele prema istovrsnim kategorijama.</w:t>
      </w:r>
    </w:p>
    <w:p w14:paraId="1F65A549" w14:textId="77777777" w:rsidR="00F12FAC" w:rsidRPr="009548E1" w:rsidRDefault="00F12FAC" w:rsidP="00F12FAC"/>
    <w:p w14:paraId="1982B0CC" w14:textId="77777777" w:rsidR="00F12FAC" w:rsidRPr="009548E1" w:rsidRDefault="00F12FAC" w:rsidP="00F12FAC">
      <w:pPr>
        <w:jc w:val="both"/>
      </w:pPr>
      <w:r w:rsidRPr="009548E1">
        <w:t>Iznos od 171.265.468,64 eura na ime danih zajmova drugim razinama vlasti (kratkoročno) odnosi se na namirenje nedostajućih sredstava korištenih za povrat poreza na dohodak i prireza porezu na dohodak po godišnjoj prijavi za 2022. godinu namirenih na teret jedinstvenog računa državnog proračuna u 2023. godini temeljem Naputka o načinu uplaćivanja prihoda proračuna, obveznih doprinosa te prihoda za financiranje drugih javnih potreba u 2023. godini (Narodne novine, br. 13/23, 46/23 i 144/23) i to:</w:t>
      </w:r>
    </w:p>
    <w:p w14:paraId="45C53C54" w14:textId="77777777" w:rsidR="00F12FAC" w:rsidRPr="009548E1" w:rsidRDefault="00F12FAC" w:rsidP="00F12FAC">
      <w:pPr>
        <w:pStyle w:val="Odlomakpopisa"/>
        <w:numPr>
          <w:ilvl w:val="0"/>
          <w:numId w:val="16"/>
        </w:numPr>
        <w:jc w:val="both"/>
      </w:pPr>
      <w:r w:rsidRPr="009548E1">
        <w:t xml:space="preserve">zajmovi županijskim proračunima (osnovni račun </w:t>
      </w:r>
      <w:r w:rsidRPr="009548E1">
        <w:rPr>
          <w:i/>
        </w:rPr>
        <w:t>51721 Dani zajmovi županijskim proračunima – kratkoročni</w:t>
      </w:r>
      <w:r w:rsidRPr="009548E1">
        <w:t>)  33.935.237,89 eura,</w:t>
      </w:r>
    </w:p>
    <w:p w14:paraId="3AA84186" w14:textId="77777777" w:rsidR="00F12FAC" w:rsidRPr="009548E1" w:rsidRDefault="00F12FAC" w:rsidP="00F12FAC">
      <w:pPr>
        <w:pStyle w:val="Odlomakpopisa"/>
        <w:numPr>
          <w:ilvl w:val="0"/>
          <w:numId w:val="16"/>
        </w:numPr>
        <w:jc w:val="both"/>
      </w:pPr>
      <w:r w:rsidRPr="009548E1">
        <w:t xml:space="preserve">zajmovi gradskim proračunima (osnovni račun </w:t>
      </w:r>
      <w:r w:rsidRPr="009548E1">
        <w:rPr>
          <w:i/>
        </w:rPr>
        <w:t>51731 Dani zajmovi gradskim proračunima – kratkoročni</w:t>
      </w:r>
      <w:r w:rsidRPr="009548E1">
        <w:t xml:space="preserve">) 98.761.363,64 eura i </w:t>
      </w:r>
    </w:p>
    <w:p w14:paraId="63E697CE" w14:textId="77777777" w:rsidR="00F12FAC" w:rsidRPr="009548E1" w:rsidRDefault="00F12FAC" w:rsidP="00F12FAC">
      <w:pPr>
        <w:pStyle w:val="Odlomakpopisa"/>
        <w:numPr>
          <w:ilvl w:val="0"/>
          <w:numId w:val="16"/>
        </w:numPr>
        <w:jc w:val="both"/>
      </w:pPr>
      <w:r w:rsidRPr="009548E1">
        <w:t xml:space="preserve">zajmovi općinskim proračunima (osnovni račun 51741 Dani zajmovi općinskim proračunima – kratkoročni) 38.568.867,11 eura. </w:t>
      </w:r>
    </w:p>
    <w:p w14:paraId="205AA9C8" w14:textId="77777777" w:rsidR="00F12FAC" w:rsidRPr="009548E1" w:rsidRDefault="00F12FAC" w:rsidP="00F12FAC">
      <w:pPr>
        <w:jc w:val="both"/>
      </w:pPr>
    </w:p>
    <w:p w14:paraId="51301F5E" w14:textId="40714238" w:rsidR="00F12FAC" w:rsidRPr="009548E1" w:rsidRDefault="004D7CE9" w:rsidP="00F12FAC">
      <w:pPr>
        <w:keepNext/>
        <w:jc w:val="center"/>
        <w:rPr>
          <w:sz w:val="28"/>
        </w:rPr>
      </w:pPr>
      <w:r>
        <w:rPr>
          <w:sz w:val="28"/>
        </w:rPr>
        <w:t>Bilješka 55</w:t>
      </w:r>
      <w:r w:rsidR="00F12FAC" w:rsidRPr="009548E1">
        <w:rPr>
          <w:sz w:val="28"/>
        </w:rPr>
        <w:t>.</w:t>
      </w:r>
    </w:p>
    <w:p w14:paraId="3E303E74" w14:textId="77777777" w:rsidR="00F12FAC" w:rsidRPr="009548E1" w:rsidRDefault="00F12FAC" w:rsidP="004D7CE9">
      <w:pPr>
        <w:jc w:val="center"/>
        <w:rPr>
          <w:sz w:val="28"/>
          <w:szCs w:val="28"/>
        </w:rPr>
      </w:pPr>
      <w:r w:rsidRPr="009548E1">
        <w:rPr>
          <w:sz w:val="28"/>
          <w:szCs w:val="28"/>
        </w:rPr>
        <w:t xml:space="preserve">Šifra 53 Izdaci za dionice i udjele u glavnici </w:t>
      </w:r>
    </w:p>
    <w:p w14:paraId="5BD8B1CB" w14:textId="77777777" w:rsidR="00F12FAC" w:rsidRPr="009548E1" w:rsidRDefault="00F12FAC" w:rsidP="00F12FAC">
      <w:pPr>
        <w:jc w:val="both"/>
      </w:pPr>
      <w:r w:rsidRPr="009548E1">
        <w:t>Izdaci za dionice i udjele u glavnici u 2023. godini izvršeni su u ukupnom iznosu od 133.894.557,02 eura, dok su u istom razdoblju 2022. godine izvršeni u iznosu od 22.745.851,86 eura, što predstavlja povećanje od 488,7%  u promatranom razdoblju.</w:t>
      </w:r>
    </w:p>
    <w:p w14:paraId="2329A7CB" w14:textId="77777777" w:rsidR="00F12FAC" w:rsidRPr="009548E1" w:rsidRDefault="00F12FAC" w:rsidP="00F12FAC">
      <w:pPr>
        <w:jc w:val="both"/>
      </w:pPr>
    </w:p>
    <w:p w14:paraId="4E1B0FFE" w14:textId="2CF53CC5" w:rsidR="004D7CE9" w:rsidRPr="004D7CE9" w:rsidRDefault="004D7CE9" w:rsidP="004D7CE9">
      <w:pPr>
        <w:keepNext/>
        <w:jc w:val="center"/>
        <w:rPr>
          <w:sz w:val="28"/>
          <w:szCs w:val="28"/>
        </w:rPr>
      </w:pPr>
      <w:r w:rsidRPr="004D7CE9">
        <w:rPr>
          <w:sz w:val="28"/>
          <w:szCs w:val="28"/>
        </w:rPr>
        <w:t>Bilješka 56.</w:t>
      </w:r>
    </w:p>
    <w:p w14:paraId="7F80F1E9" w14:textId="6FEED6A6" w:rsidR="00F12FAC" w:rsidRPr="004D7CE9" w:rsidRDefault="004D7CE9" w:rsidP="004D7CE9">
      <w:pPr>
        <w:pStyle w:val="Odlomakpopisa"/>
        <w:tabs>
          <w:tab w:val="left" w:pos="180"/>
          <w:tab w:val="left" w:pos="540"/>
        </w:tabs>
        <w:spacing w:after="120"/>
        <w:jc w:val="both"/>
        <w:rPr>
          <w:sz w:val="28"/>
          <w:szCs w:val="28"/>
        </w:rPr>
      </w:pPr>
      <w:r w:rsidRPr="004D7CE9">
        <w:rPr>
          <w:sz w:val="28"/>
          <w:szCs w:val="28"/>
        </w:rPr>
        <w:t xml:space="preserve">Šifra 5312 </w:t>
      </w:r>
      <w:r w:rsidR="00F12FAC" w:rsidRPr="004D7CE9">
        <w:rPr>
          <w:sz w:val="28"/>
          <w:szCs w:val="28"/>
        </w:rPr>
        <w:t>Dionice i udjeli u glavnici kreditni</w:t>
      </w:r>
      <w:r w:rsidRPr="004D7CE9">
        <w:rPr>
          <w:sz w:val="28"/>
          <w:szCs w:val="28"/>
        </w:rPr>
        <w:t>h institucija u javnom sektoru</w:t>
      </w:r>
    </w:p>
    <w:p w14:paraId="10CD6A96" w14:textId="77777777" w:rsidR="00F12FAC" w:rsidRPr="009548E1" w:rsidRDefault="00F12FAC" w:rsidP="00F12FAC">
      <w:pPr>
        <w:jc w:val="both"/>
      </w:pPr>
      <w:r w:rsidRPr="009548E1">
        <w:t>Za osnivački kapital HBOR-a u svrhu poticanja izvoza, infrastrukture i gospodarskih djelatnosti te malog i srednjeg poduzetništva u 2023. izvršen je izdatak u iznosu 2.654.456,00 eura.</w:t>
      </w:r>
    </w:p>
    <w:p w14:paraId="4CFF8FCB" w14:textId="77777777" w:rsidR="004D7CE9" w:rsidRDefault="004D7CE9" w:rsidP="004D7CE9">
      <w:pPr>
        <w:keepNext/>
        <w:jc w:val="center"/>
        <w:rPr>
          <w:sz w:val="28"/>
          <w:szCs w:val="28"/>
        </w:rPr>
      </w:pPr>
      <w:r w:rsidRPr="004D7CE9">
        <w:rPr>
          <w:sz w:val="28"/>
          <w:szCs w:val="28"/>
        </w:rPr>
        <w:t>Bilješ</w:t>
      </w:r>
      <w:r>
        <w:rPr>
          <w:sz w:val="28"/>
          <w:szCs w:val="28"/>
        </w:rPr>
        <w:t>ka 57.</w:t>
      </w:r>
    </w:p>
    <w:p w14:paraId="21E06459" w14:textId="0F83C3EA" w:rsidR="00F12FAC" w:rsidRPr="004D7CE9" w:rsidRDefault="004D7CE9" w:rsidP="004D7CE9">
      <w:pPr>
        <w:keepNext/>
        <w:jc w:val="center"/>
        <w:rPr>
          <w:sz w:val="28"/>
          <w:szCs w:val="28"/>
        </w:rPr>
      </w:pPr>
      <w:r w:rsidRPr="004D7CE9">
        <w:rPr>
          <w:sz w:val="28"/>
          <w:szCs w:val="28"/>
        </w:rPr>
        <w:t xml:space="preserve">Šifra 5321 </w:t>
      </w:r>
      <w:r w:rsidR="00F12FAC" w:rsidRPr="004D7CE9">
        <w:rPr>
          <w:sz w:val="28"/>
          <w:szCs w:val="28"/>
        </w:rPr>
        <w:t>Dionice i udjeli u glavnici trgova</w:t>
      </w:r>
      <w:r>
        <w:rPr>
          <w:sz w:val="28"/>
          <w:szCs w:val="28"/>
        </w:rPr>
        <w:t>čkih društava u javnom sektoru</w:t>
      </w:r>
    </w:p>
    <w:p w14:paraId="38767ABB" w14:textId="13A9C139" w:rsidR="00F12FAC" w:rsidRPr="009548E1" w:rsidRDefault="00F12FAC" w:rsidP="00F12FAC">
      <w:pPr>
        <w:pStyle w:val="xbox473596"/>
        <w:shd w:val="clear" w:color="auto" w:fill="FFFFFF"/>
        <w:spacing w:before="0" w:beforeAutospacing="0" w:after="48" w:afterAutospacing="0"/>
        <w:jc w:val="both"/>
        <w:textAlignment w:val="baseline"/>
        <w:rPr>
          <w:color w:val="231F20"/>
          <w:shd w:val="clear" w:color="auto" w:fill="FFFFFF"/>
        </w:rPr>
      </w:pPr>
      <w:r w:rsidRPr="009548E1">
        <w:rPr>
          <w:color w:val="231F20"/>
          <w:shd w:val="clear" w:color="auto" w:fill="FFFFFF"/>
        </w:rPr>
        <w:t>Ugovorom o prijenosu poslovnog udjela, sklopljenim između Grada Zagreba i Republike Hrvatske 22. prosinca 2023. (KLASA: 305-01/18-01/01, URBROJ: 513-13-01-23-34), utvrđeno je kako su Grad Zagreb i Republika Hrvatska jedini članovi i imatelji poslovnih udjela trgovačkog društva APIS IT d.o.o</w:t>
      </w:r>
      <w:r w:rsidR="004D7CE9">
        <w:rPr>
          <w:color w:val="231F20"/>
          <w:shd w:val="clear" w:color="auto" w:fill="FFFFFF"/>
        </w:rPr>
        <w:t xml:space="preserve">. </w:t>
      </w:r>
      <w:r w:rsidRPr="009548E1">
        <w:rPr>
          <w:color w:val="231F20"/>
          <w:shd w:val="clear" w:color="auto" w:fill="FFFFFF"/>
        </w:rPr>
        <w:t>Na temelju predmetnog Ugovora Grad Zagreb prenio je Republici Hrvatskoj 1 poslovni udio, pri čemu naknada za poslovni udjel u skladu s člankom 3.</w:t>
      </w:r>
      <w:r w:rsidR="004D7CE9">
        <w:rPr>
          <w:color w:val="231F20"/>
          <w:shd w:val="clear" w:color="auto" w:fill="FFFFFF"/>
        </w:rPr>
        <w:t xml:space="preserve"> Ugovora</w:t>
      </w:r>
      <w:r w:rsidRPr="009548E1">
        <w:rPr>
          <w:color w:val="231F20"/>
          <w:shd w:val="clear" w:color="auto" w:fill="FFFFFF"/>
        </w:rPr>
        <w:t xml:space="preserve"> iznosi 37.779.000,00 eura, koja je dijelom isplaćena iz sredstava državnog proračuna Republike Hrvatske u iznosu od 1.033.678,02 eura, a dijelom pretvaranjem potraživanja Republike Hrvatske prema Gradu Zagrebu s osnova danih zajmova u iznosu od 36.745.321,98 eura.</w:t>
      </w:r>
    </w:p>
    <w:p w14:paraId="687C7F41" w14:textId="77777777" w:rsidR="00E7292B" w:rsidRDefault="00E7292B" w:rsidP="00E7292B">
      <w:pPr>
        <w:keepNext/>
        <w:jc w:val="center"/>
        <w:rPr>
          <w:sz w:val="28"/>
          <w:szCs w:val="28"/>
        </w:rPr>
      </w:pPr>
      <w:r w:rsidRPr="004D7CE9">
        <w:rPr>
          <w:sz w:val="28"/>
          <w:szCs w:val="28"/>
        </w:rPr>
        <w:t>Bilješ</w:t>
      </w:r>
      <w:r>
        <w:rPr>
          <w:sz w:val="28"/>
          <w:szCs w:val="28"/>
        </w:rPr>
        <w:t>ka 58.</w:t>
      </w:r>
    </w:p>
    <w:p w14:paraId="05E5D047" w14:textId="7B1A5CCF" w:rsidR="00E7292B" w:rsidRPr="00E7292B" w:rsidRDefault="00E7292B" w:rsidP="00E7292B">
      <w:pPr>
        <w:keepNext/>
        <w:jc w:val="center"/>
        <w:rPr>
          <w:sz w:val="28"/>
          <w:szCs w:val="28"/>
        </w:rPr>
      </w:pPr>
      <w:r w:rsidRPr="00E7292B">
        <w:rPr>
          <w:sz w:val="28"/>
          <w:szCs w:val="28"/>
        </w:rPr>
        <w:t>Šifra 5332</w:t>
      </w:r>
      <w:r w:rsidR="00E562D9">
        <w:rPr>
          <w:sz w:val="28"/>
          <w:szCs w:val="28"/>
        </w:rPr>
        <w:t xml:space="preserve"> </w:t>
      </w:r>
      <w:r w:rsidR="00F12FAC" w:rsidRPr="00E7292B">
        <w:rPr>
          <w:sz w:val="28"/>
          <w:szCs w:val="28"/>
        </w:rPr>
        <w:t>Dionice i udjeli u glavnici inozemnih kreditnih i ostalih financijskih institucija izvan javnog  sekt</w:t>
      </w:r>
      <w:r w:rsidRPr="00E7292B">
        <w:rPr>
          <w:sz w:val="28"/>
          <w:szCs w:val="28"/>
        </w:rPr>
        <w:t>ora</w:t>
      </w:r>
    </w:p>
    <w:p w14:paraId="6874B6E9" w14:textId="77777777" w:rsidR="00F12FAC" w:rsidRPr="009548E1" w:rsidRDefault="00F12FAC" w:rsidP="00F12FAC">
      <w:pPr>
        <w:jc w:val="both"/>
      </w:pPr>
      <w:r w:rsidRPr="009548E1">
        <w:rPr>
          <w:bCs/>
        </w:rPr>
        <w:t xml:space="preserve">Izdaci za </w:t>
      </w:r>
      <w:r w:rsidRPr="009548E1">
        <w:t>dionice i udjele u glavnici inozemnih kreditnih i ostalih financijskih institucija u 2023. godine izvršeni su u iznosu od 93.461.101,02 eura i bilježe povećanje od 1.297,8% u odnosu na izvršene izdatke u istom razdoblju 2022. godine.</w:t>
      </w:r>
    </w:p>
    <w:p w14:paraId="6099EA20" w14:textId="77777777" w:rsidR="00F12FAC" w:rsidRPr="009548E1" w:rsidRDefault="00F12FAC" w:rsidP="00F12FAC">
      <w:pPr>
        <w:jc w:val="both"/>
      </w:pPr>
      <w:r w:rsidRPr="009548E1">
        <w:t xml:space="preserve">Povećanje predmetnih izdataka u promatranom razdoblju rezultat je sljedećih transakcija odnosno poslovnih događaja: </w:t>
      </w:r>
    </w:p>
    <w:p w14:paraId="0BB7B388" w14:textId="77777777" w:rsidR="00F12FAC" w:rsidRPr="009548E1" w:rsidRDefault="00F12FAC" w:rsidP="00E7292B">
      <w:pPr>
        <w:pStyle w:val="Odlomakpopisa"/>
        <w:numPr>
          <w:ilvl w:val="0"/>
          <w:numId w:val="2"/>
        </w:numPr>
        <w:jc w:val="both"/>
      </w:pPr>
      <w:r w:rsidRPr="009548E1">
        <w:t>U siječnju i prosincu 2023. godine izvršeno je plaćanje treće i četvrte od pet rata obveza Republike Hrvatske za opće povećanje kapitala Međunarodne financijske korporacije (IFC) (rata obveze iznosi 1.410.000,00 USD).</w:t>
      </w:r>
    </w:p>
    <w:p w14:paraId="216F1D15" w14:textId="77777777" w:rsidR="00F12FAC" w:rsidRPr="009548E1" w:rsidRDefault="00F12FAC" w:rsidP="00E7292B">
      <w:pPr>
        <w:pStyle w:val="Odlomakpopisa"/>
        <w:numPr>
          <w:ilvl w:val="0"/>
          <w:numId w:val="2"/>
        </w:numPr>
        <w:jc w:val="both"/>
      </w:pPr>
      <w:r w:rsidRPr="009548E1">
        <w:t xml:space="preserve">Republika Hrvatska je dana 22. ožujka 2023. postala 20. članica Europskog stabilizacijskog mehanizma (ESM). Prema Ugovoru o osnivanju ESM-a, sve države članice </w:t>
      </w:r>
      <w:proofErr w:type="spellStart"/>
      <w:r w:rsidRPr="009548E1">
        <w:t>europodručja</w:t>
      </w:r>
      <w:proofErr w:type="spellEnd"/>
      <w:r w:rsidRPr="009548E1">
        <w:t xml:space="preserve"> pristupaju ESM-u. Dana 30. ožujka 2023. godine izvršeno je plaćanje prve od pet rata obveza Republike Hrvatske za uplatu u kapital Europskog mehanizma za stabilnost (ESM) u iznosu od 84.458.000,00 eura. </w:t>
      </w:r>
    </w:p>
    <w:p w14:paraId="3EBB7CB4" w14:textId="77777777" w:rsidR="00F12FAC" w:rsidRPr="009548E1" w:rsidRDefault="00F12FAC" w:rsidP="00E7292B">
      <w:pPr>
        <w:pStyle w:val="Odlomakpopisa"/>
        <w:numPr>
          <w:ilvl w:val="0"/>
          <w:numId w:val="2"/>
        </w:numPr>
        <w:jc w:val="both"/>
      </w:pPr>
      <w:r w:rsidRPr="009548E1">
        <w:t xml:space="preserve">Dana 4. travnja 2023. izvršeno je plaćanje prve rate u iznosu od 921.096,29 eura u okviru sudjelovanja Republike Hrvatske u 20. nadopuni sredstava Međunarodnog udruženja za razvoj (International Development </w:t>
      </w:r>
      <w:proofErr w:type="spellStart"/>
      <w:r w:rsidRPr="009548E1">
        <w:t>Association</w:t>
      </w:r>
      <w:proofErr w:type="spellEnd"/>
      <w:r w:rsidRPr="009548E1">
        <w:t xml:space="preserve"> - IDA). Vlada RH je 18. kolovoza 2022. (Narodne novine, broj 96/22) donijela Odluku o sudjelovanju Republike Hrvatske u 20. nadopuni sredstava Međunarodnog udruženja za razvoj. Navedenom Odlukom prihvaćeno je sudjelovanje Republike Hrvatske u 20. nadopuni sredstava IDA-e na temelju Rezolucije Odbora guvernera IDA-a br. 248 od 31. ožujka 2022. Sukladno Rezoluciji, za RH je nastala obveza deponiranja pri IDA-i dokumenta (Instrument </w:t>
      </w:r>
      <w:proofErr w:type="spellStart"/>
      <w:r w:rsidRPr="009548E1">
        <w:t>of</w:t>
      </w:r>
      <w:proofErr w:type="spellEnd"/>
      <w:r w:rsidRPr="009548E1">
        <w:t xml:space="preserve"> </w:t>
      </w:r>
      <w:proofErr w:type="spellStart"/>
      <w:r w:rsidRPr="009548E1">
        <w:t>Commitment</w:t>
      </w:r>
      <w:proofErr w:type="spellEnd"/>
      <w:r w:rsidRPr="009548E1">
        <w:t>) kojim se Vlada RH obvezuje uplatiti 21.000.000,00 kuna kroz tri godišnje rate.</w:t>
      </w:r>
    </w:p>
    <w:p w14:paraId="39ABE992" w14:textId="77777777" w:rsidR="00F12FAC" w:rsidRPr="009548E1" w:rsidRDefault="00F12FAC" w:rsidP="00E7292B">
      <w:pPr>
        <w:pStyle w:val="Odlomakpopisa"/>
        <w:numPr>
          <w:ilvl w:val="0"/>
          <w:numId w:val="2"/>
        </w:numPr>
        <w:jc w:val="both"/>
      </w:pPr>
      <w:r w:rsidRPr="009548E1">
        <w:t>Dana 12. rujna 2023. izvršeno je plaćanje u korist članskog kapitala Međunarodnoj banci za obnovu i razvoj (IBRD). Ova uplata od 1.629.537,58 USD je peta od pet rata kapitala koji Republika Hrvatska uplaćuje sudjelujući u Općem i selektivnom povećanju kapitala IBRD-a iz 2018. godine, temeljem Odluke Vlade RH od 1. kolovoza 2019. godine (NN 74/2019). </w:t>
      </w:r>
    </w:p>
    <w:p w14:paraId="132C5A43" w14:textId="77777777" w:rsidR="00F12FAC" w:rsidRPr="009548E1" w:rsidRDefault="00F12FAC" w:rsidP="00E7292B">
      <w:pPr>
        <w:pStyle w:val="Odlomakpopisa"/>
        <w:numPr>
          <w:ilvl w:val="0"/>
          <w:numId w:val="2"/>
        </w:numPr>
        <w:jc w:val="both"/>
      </w:pPr>
      <w:r w:rsidRPr="009548E1">
        <w:t>izdatak u iznosu od 5.085.658,87 eura odnosi se na ulaganje Republike Hrvatske u Investicijski fond Inicijative triju mora temeljem Odluke Vlade Republike Hrvatske o ulaganju Republike Hrvatske u  Investicijski fond Inicijative triju mora od 14. listopada 2020. godine,</w:t>
      </w:r>
    </w:p>
    <w:p w14:paraId="2DA314A5" w14:textId="0E8CEE92" w:rsidR="00E7292B" w:rsidRDefault="00F12FAC" w:rsidP="00E7292B">
      <w:pPr>
        <w:pStyle w:val="Odlomakpopisa"/>
        <w:numPr>
          <w:ilvl w:val="0"/>
          <w:numId w:val="2"/>
        </w:numPr>
        <w:jc w:val="both"/>
      </w:pPr>
      <w:r w:rsidRPr="009548E1">
        <w:t>izdatak od 184.348,79 eura odnosi se na uplatu u korist članskog kapitala RH u Azijskoj infrastrukturnoj investicijskoj banci (AIIB). Ova uplata je druga od pet rata kapitala koji je RH dužna uplatiti postavši krajem 2021. godine punopravnom članicom AIIB-a, temeljem čl. 4. Zakona o potvrđivanju Statuta Azijske infrastrukturne investicijske banke (NN-MU br. 7/2021).</w:t>
      </w:r>
    </w:p>
    <w:p w14:paraId="4FA90532" w14:textId="77777777" w:rsidR="00E7292B" w:rsidRDefault="00E7292B" w:rsidP="00E7292B">
      <w:pPr>
        <w:pStyle w:val="Odlomakpopisa"/>
        <w:jc w:val="both"/>
      </w:pPr>
    </w:p>
    <w:p w14:paraId="2367BB55" w14:textId="592C2B7B" w:rsidR="00E7292B" w:rsidRPr="00E7292B" w:rsidRDefault="00E7292B" w:rsidP="00E7292B">
      <w:pPr>
        <w:pStyle w:val="Odlomakpopisa"/>
        <w:ind w:hanging="720"/>
        <w:jc w:val="center"/>
      </w:pPr>
      <w:r w:rsidRPr="00E7292B">
        <w:rPr>
          <w:sz w:val="28"/>
          <w:szCs w:val="28"/>
        </w:rPr>
        <w:t>Bilješka 59.</w:t>
      </w:r>
    </w:p>
    <w:p w14:paraId="7C0A63C9" w14:textId="0A66C387" w:rsidR="00F12FAC" w:rsidRPr="00E7292B" w:rsidRDefault="00E7292B" w:rsidP="00E7292B">
      <w:pPr>
        <w:pStyle w:val="Odlomakpopisa"/>
        <w:keepNext/>
        <w:jc w:val="center"/>
        <w:rPr>
          <w:sz w:val="28"/>
          <w:szCs w:val="28"/>
        </w:rPr>
      </w:pPr>
      <w:r w:rsidRPr="00E7292B">
        <w:rPr>
          <w:sz w:val="28"/>
          <w:szCs w:val="28"/>
        </w:rPr>
        <w:t xml:space="preserve">Šifra 5341 </w:t>
      </w:r>
      <w:r w:rsidR="00F12FAC" w:rsidRPr="00E7292B">
        <w:rPr>
          <w:sz w:val="28"/>
          <w:szCs w:val="28"/>
        </w:rPr>
        <w:t xml:space="preserve">Dionice i udjeli u glavnici tuzemnih trgovačkih društava izvan javnog sektora </w:t>
      </w:r>
    </w:p>
    <w:p w14:paraId="35A303B7" w14:textId="77777777" w:rsidR="00F12FAC" w:rsidRPr="009548E1" w:rsidRDefault="00F12FAC" w:rsidP="00F12FAC">
      <w:pPr>
        <w:jc w:val="both"/>
      </w:pPr>
      <w:r w:rsidRPr="009548E1">
        <w:t>U 2023. godini nije bilo izvršenih izdataka na ime dionica i udjela u glavnici tuzemnih trgovačkih društava izvan javnog sektora, dok je u 2022. godini evidentirano 13.405.003,65 eura na ime ovih izdataka. Detalji ovog poslovnog događaja su klasificirani podaci sukladno Zakonu o tajnosti podataka kojim se uređuje pojam klasificiranih i neklasificiranih podataka.</w:t>
      </w:r>
    </w:p>
    <w:p w14:paraId="6A47B341" w14:textId="77777777" w:rsidR="00E7292B" w:rsidRDefault="00E7292B" w:rsidP="00F12FAC">
      <w:pPr>
        <w:keepNext/>
        <w:jc w:val="center"/>
        <w:rPr>
          <w:rFonts w:ascii="Calibri" w:hAnsi="Calibri" w:cs="Calibri"/>
          <w:color w:val="000000"/>
        </w:rPr>
      </w:pPr>
    </w:p>
    <w:p w14:paraId="25DFE9A3" w14:textId="5CACBFD2" w:rsidR="00F12FAC" w:rsidRPr="009548E1" w:rsidRDefault="00E7292B" w:rsidP="00F12FAC">
      <w:pPr>
        <w:keepNext/>
        <w:jc w:val="center"/>
        <w:rPr>
          <w:sz w:val="28"/>
        </w:rPr>
      </w:pPr>
      <w:r>
        <w:rPr>
          <w:sz w:val="28"/>
        </w:rPr>
        <w:t>Bilješka 60</w:t>
      </w:r>
      <w:r w:rsidR="00F12FAC" w:rsidRPr="009548E1">
        <w:rPr>
          <w:sz w:val="28"/>
        </w:rPr>
        <w:t>.</w:t>
      </w:r>
    </w:p>
    <w:p w14:paraId="1A12D0A2" w14:textId="77777777" w:rsidR="00F12FAC" w:rsidRPr="009548E1" w:rsidRDefault="00F12FAC" w:rsidP="00E7292B">
      <w:pPr>
        <w:jc w:val="center"/>
        <w:rPr>
          <w:sz w:val="28"/>
          <w:szCs w:val="28"/>
        </w:rPr>
      </w:pPr>
      <w:r w:rsidRPr="009548E1">
        <w:rPr>
          <w:sz w:val="28"/>
          <w:szCs w:val="28"/>
        </w:rPr>
        <w:t>Šifra 54 Izdaci za otplatu glavnice primljenih kredita i zajmova</w:t>
      </w:r>
    </w:p>
    <w:p w14:paraId="5EDA9617" w14:textId="77777777" w:rsidR="00F12FAC" w:rsidRPr="009548E1" w:rsidRDefault="00F12FAC" w:rsidP="00F12FAC">
      <w:pPr>
        <w:jc w:val="both"/>
      </w:pPr>
      <w:r w:rsidRPr="009548E1">
        <w:t>Izdaci za otplatu glavnice primljenih kredita i zajmova u 2023. godini izvršeni su u ukupnom iznosu od 1.189.280.284,68 eura, dok su u istom razdoblju 2022. godine izvršeni u iznosu od 992.422.858,66 eura, što predstavlja povećanje od 19,8%  u promatranom razdoblju.</w:t>
      </w:r>
    </w:p>
    <w:p w14:paraId="43715E8F" w14:textId="77777777" w:rsidR="00E7292B" w:rsidRDefault="00E7292B" w:rsidP="00E7292B">
      <w:pPr>
        <w:keepNext/>
        <w:jc w:val="center"/>
        <w:rPr>
          <w:sz w:val="28"/>
        </w:rPr>
      </w:pPr>
    </w:p>
    <w:p w14:paraId="02BCD5E3" w14:textId="237D3ACE" w:rsidR="00F12FAC" w:rsidRPr="00E7292B" w:rsidRDefault="00E7292B" w:rsidP="00E7292B">
      <w:pPr>
        <w:keepNext/>
        <w:jc w:val="center"/>
        <w:rPr>
          <w:sz w:val="28"/>
        </w:rPr>
      </w:pPr>
      <w:r>
        <w:rPr>
          <w:sz w:val="28"/>
        </w:rPr>
        <w:t>Bilješka 61.</w:t>
      </w:r>
    </w:p>
    <w:p w14:paraId="638B3536" w14:textId="5859417F" w:rsidR="00F12FAC" w:rsidRPr="00E7292B" w:rsidRDefault="00E7292B" w:rsidP="00E7292B">
      <w:pPr>
        <w:keepNext/>
        <w:jc w:val="center"/>
        <w:rPr>
          <w:sz w:val="28"/>
          <w:szCs w:val="28"/>
        </w:rPr>
      </w:pPr>
      <w:r w:rsidRPr="00E7292B">
        <w:rPr>
          <w:sz w:val="28"/>
          <w:szCs w:val="28"/>
        </w:rPr>
        <w:t>Š</w:t>
      </w:r>
      <w:r w:rsidR="00F12FAC" w:rsidRPr="00E7292B">
        <w:rPr>
          <w:sz w:val="28"/>
          <w:szCs w:val="28"/>
        </w:rPr>
        <w:t>ifra 5422</w:t>
      </w:r>
      <w:r w:rsidRPr="00E7292B">
        <w:rPr>
          <w:sz w:val="28"/>
          <w:szCs w:val="28"/>
        </w:rPr>
        <w:t xml:space="preserve"> Izdaci za otplatu glavnice primljenih kredita od kreditnih institucija u javnom sektoru</w:t>
      </w:r>
    </w:p>
    <w:p w14:paraId="6E853560" w14:textId="77777777" w:rsidR="00F12FAC" w:rsidRPr="009548E1" w:rsidRDefault="00F12FAC" w:rsidP="00F12FAC">
      <w:pPr>
        <w:keepNext/>
        <w:jc w:val="both"/>
      </w:pPr>
      <w:r w:rsidRPr="009548E1">
        <w:t>Na ime izdataka za otplatu glavnice primljenih kredita od kreditnih institucija u javnom sektoru u 2023. godini evidentirano je 31.452.832,80 eura. Navedeni iznos odnosi se na:</w:t>
      </w:r>
    </w:p>
    <w:p w14:paraId="075D9F23" w14:textId="77777777" w:rsidR="00F12FAC" w:rsidRPr="009548E1" w:rsidRDefault="00F12FAC" w:rsidP="00F12FAC">
      <w:pPr>
        <w:pStyle w:val="Odlomakpopisa"/>
        <w:numPr>
          <w:ilvl w:val="0"/>
          <w:numId w:val="10"/>
        </w:numPr>
        <w:jc w:val="both"/>
      </w:pPr>
      <w:r w:rsidRPr="009548E1">
        <w:t xml:space="preserve">15,9 milijuna eura za otplatu glavnice kredita kod Hrvatske poštanske banke temeljem Ugovora o kreditu za likvidnost, </w:t>
      </w:r>
    </w:p>
    <w:p w14:paraId="2DAEAD8D" w14:textId="77777777" w:rsidR="00F12FAC" w:rsidRPr="009548E1" w:rsidRDefault="00F12FAC" w:rsidP="00F12FAC">
      <w:pPr>
        <w:pStyle w:val="Odlomakpopisa"/>
        <w:numPr>
          <w:ilvl w:val="0"/>
          <w:numId w:val="10"/>
        </w:numPr>
        <w:jc w:val="both"/>
      </w:pPr>
      <w:r w:rsidRPr="009548E1">
        <w:t>6,7 milijuna eura na ime izdataka temeljem preuzetnog duga društva HŽ Putnički prijevoz,</w:t>
      </w:r>
    </w:p>
    <w:p w14:paraId="2144B7AB" w14:textId="77777777" w:rsidR="00F12FAC" w:rsidRPr="009548E1" w:rsidRDefault="00F12FAC" w:rsidP="00F12FAC">
      <w:pPr>
        <w:pStyle w:val="Odlomakpopisa"/>
        <w:numPr>
          <w:ilvl w:val="0"/>
          <w:numId w:val="10"/>
        </w:numPr>
        <w:jc w:val="both"/>
      </w:pPr>
      <w:r w:rsidRPr="009548E1">
        <w:t xml:space="preserve">4,5 milijuna eura na ime izdataka za otplatu glavnice primljenih kredita od kreditnih institucija u javnom sektoru odnosi se na klasificirane podatke sukladno Zakonu o tajnosti podataka kojim se uređuje pojam klasificiranih i neklasificiranih podataka, </w:t>
      </w:r>
    </w:p>
    <w:p w14:paraId="6446CC7F" w14:textId="77777777" w:rsidR="00F12FAC" w:rsidRPr="009548E1" w:rsidRDefault="00F12FAC" w:rsidP="00F12FAC">
      <w:pPr>
        <w:pStyle w:val="Odlomakpopisa"/>
        <w:numPr>
          <w:ilvl w:val="0"/>
          <w:numId w:val="10"/>
        </w:numPr>
        <w:jc w:val="both"/>
      </w:pPr>
      <w:r w:rsidRPr="009548E1">
        <w:t xml:space="preserve">3,3 milijuna eura na ime izdataka po preuzetim obvezama temeljem nagodbe između Republike Hrvatske i društva HŽ </w:t>
      </w:r>
      <w:proofErr w:type="spellStart"/>
      <w:r w:rsidRPr="009548E1">
        <w:t>Cargo</w:t>
      </w:r>
      <w:proofErr w:type="spellEnd"/>
      <w:r w:rsidRPr="009548E1">
        <w:t xml:space="preserve"> d.o.o. u svrhu restrukturiranja,</w:t>
      </w:r>
    </w:p>
    <w:p w14:paraId="235CF911" w14:textId="74CFFB51" w:rsidR="00E7292B" w:rsidRDefault="00F12FAC" w:rsidP="00E7292B">
      <w:pPr>
        <w:pStyle w:val="Odlomakpopisa"/>
        <w:numPr>
          <w:ilvl w:val="0"/>
          <w:numId w:val="10"/>
        </w:numPr>
        <w:jc w:val="both"/>
      </w:pPr>
      <w:r w:rsidRPr="009548E1">
        <w:t>929.059,64 eura na ime izdataka prema HBOR-u, a za korisnika kredita Hrvatske vode, za financiranje radova planiranih Nacionalnim projektom navodnjavanja koji je dio Programa Vlade Republike Hrvatske.</w:t>
      </w:r>
    </w:p>
    <w:p w14:paraId="69E947C3" w14:textId="77777777" w:rsidR="00E7292B" w:rsidRDefault="00E7292B" w:rsidP="00E7292B">
      <w:pPr>
        <w:pStyle w:val="Odlomakpopisa"/>
        <w:jc w:val="both"/>
      </w:pPr>
    </w:p>
    <w:p w14:paraId="5C7066BC" w14:textId="58CF795C" w:rsidR="00E7292B" w:rsidRPr="00E7292B" w:rsidRDefault="00E7292B" w:rsidP="00E7292B">
      <w:pPr>
        <w:pStyle w:val="Odlomakpopisa"/>
        <w:ind w:hanging="720"/>
        <w:jc w:val="center"/>
      </w:pPr>
      <w:r>
        <w:rPr>
          <w:sz w:val="28"/>
        </w:rPr>
        <w:t>Bilješka 62</w:t>
      </w:r>
      <w:r w:rsidRPr="00E7292B">
        <w:rPr>
          <w:sz w:val="28"/>
        </w:rPr>
        <w:t>.</w:t>
      </w:r>
    </w:p>
    <w:p w14:paraId="34B906E9" w14:textId="58402EBB" w:rsidR="00F12FAC" w:rsidRPr="00E7292B" w:rsidRDefault="00E7292B" w:rsidP="00E7292B">
      <w:pPr>
        <w:pStyle w:val="Odlomakpopisa"/>
        <w:spacing w:after="240"/>
        <w:ind w:left="0"/>
        <w:jc w:val="center"/>
        <w:rPr>
          <w:sz w:val="28"/>
          <w:szCs w:val="28"/>
        </w:rPr>
      </w:pPr>
      <w:r w:rsidRPr="00E7292B">
        <w:rPr>
          <w:sz w:val="28"/>
          <w:szCs w:val="28"/>
        </w:rPr>
        <w:t>Š</w:t>
      </w:r>
      <w:r w:rsidR="00F12FAC" w:rsidRPr="00E7292B">
        <w:rPr>
          <w:sz w:val="28"/>
          <w:szCs w:val="28"/>
        </w:rPr>
        <w:t>ifra 5424</w:t>
      </w:r>
      <w:r w:rsidRPr="00E7292B">
        <w:rPr>
          <w:sz w:val="28"/>
          <w:szCs w:val="28"/>
        </w:rPr>
        <w:t xml:space="preserve"> Izdaci za otplatu glavnice primljenih zajmova od ostalih financijskih institucija u javnom sektoru</w:t>
      </w:r>
    </w:p>
    <w:p w14:paraId="394AFA47" w14:textId="5AE2F4D8" w:rsidR="00F12FAC" w:rsidRDefault="00F12FAC" w:rsidP="00F12FAC">
      <w:pPr>
        <w:jc w:val="both"/>
      </w:pPr>
      <w:r w:rsidRPr="009548E1">
        <w:t>I</w:t>
      </w:r>
      <w:r w:rsidRPr="009548E1">
        <w:rPr>
          <w:bCs/>
        </w:rPr>
        <w:t xml:space="preserve">zdaci za </w:t>
      </w:r>
      <w:r w:rsidRPr="009548E1">
        <w:t>otplate glavnice primljenih zajmova od ostalih financijskih institucija u javnom sektoru u 2023. godine ostvareni su u iznosu od 46.401.552,51 eura. Za izdatke s osnove otplate glavnice primljenih zajmova od ostalih financijskih institucija u javnom sek</w:t>
      </w:r>
      <w:r w:rsidR="00E7292B">
        <w:t>toru u financijskom izvještaju D</w:t>
      </w:r>
      <w:r w:rsidRPr="009548E1">
        <w:t>ržavnog proračuna nema iskazanog podatka s obzirom na to da se kratkoročni primici i izdaci u financijskom izvještaju iskazuju u neto iznosu nakon što se sučele prema istovrsnim kategorijama.</w:t>
      </w:r>
    </w:p>
    <w:p w14:paraId="4FD7E406" w14:textId="77777777" w:rsidR="00E7292B" w:rsidRDefault="00E7292B" w:rsidP="00F12FAC">
      <w:pPr>
        <w:jc w:val="both"/>
      </w:pPr>
    </w:p>
    <w:p w14:paraId="1AD43ADD" w14:textId="26538608" w:rsidR="00E7292B" w:rsidRPr="00E7292B" w:rsidRDefault="00E7292B" w:rsidP="00E7292B">
      <w:pPr>
        <w:pStyle w:val="Odlomakpopisa"/>
        <w:ind w:hanging="720"/>
        <w:jc w:val="center"/>
      </w:pPr>
      <w:r>
        <w:rPr>
          <w:sz w:val="28"/>
        </w:rPr>
        <w:t>Bilješka 63</w:t>
      </w:r>
      <w:r w:rsidRPr="00E7292B">
        <w:rPr>
          <w:sz w:val="28"/>
        </w:rPr>
        <w:t>.</w:t>
      </w:r>
    </w:p>
    <w:p w14:paraId="49D180DD" w14:textId="487986E0" w:rsidR="00F12FAC" w:rsidRPr="00E7292B" w:rsidRDefault="00E7292B" w:rsidP="00E7292B">
      <w:pPr>
        <w:pStyle w:val="Odlomakpopisa"/>
        <w:ind w:left="0"/>
        <w:jc w:val="center"/>
        <w:rPr>
          <w:sz w:val="28"/>
          <w:szCs w:val="28"/>
        </w:rPr>
      </w:pPr>
      <w:r>
        <w:rPr>
          <w:sz w:val="28"/>
          <w:szCs w:val="28"/>
        </w:rPr>
        <w:t>Š</w:t>
      </w:r>
      <w:r w:rsidRPr="00E7292B">
        <w:rPr>
          <w:sz w:val="28"/>
          <w:szCs w:val="28"/>
        </w:rPr>
        <w:t>ifra 5443 Izdaci</w:t>
      </w:r>
      <w:r w:rsidR="00F12FAC" w:rsidRPr="00E7292B">
        <w:rPr>
          <w:sz w:val="28"/>
          <w:szCs w:val="28"/>
        </w:rPr>
        <w:t xml:space="preserve"> za otplatu glavnice primljenih kredita od tuzemnih kreditnih in</w:t>
      </w:r>
      <w:r w:rsidRPr="00E7292B">
        <w:rPr>
          <w:sz w:val="28"/>
          <w:szCs w:val="28"/>
        </w:rPr>
        <w:t>stitucija izvan javnog sektora</w:t>
      </w:r>
    </w:p>
    <w:p w14:paraId="05496D1D" w14:textId="77777777" w:rsidR="00F12FAC" w:rsidRPr="009548E1" w:rsidRDefault="00F12FAC" w:rsidP="00F12FAC">
      <w:pPr>
        <w:keepNext/>
        <w:jc w:val="both"/>
      </w:pPr>
      <w:r w:rsidRPr="009548E1">
        <w:t xml:space="preserve">Na ime izdataka za otplatu glavnice primljenih kredita od tuzemnih kreditnih institucija izvan javnog sektora u 2023. godini evidentirani su i izdaci u iznosu od 1.073.620.774,47 eura. Navedeni izdaci najvećim se dijelom odnose na otplate glavnice primljenih kredita od Zagrebačke banke, </w:t>
      </w:r>
      <w:proofErr w:type="spellStart"/>
      <w:r w:rsidRPr="009548E1">
        <w:t>Erste&amp;Steiermärkische</w:t>
      </w:r>
      <w:proofErr w:type="spellEnd"/>
      <w:r w:rsidRPr="009548E1">
        <w:t xml:space="preserve"> banke te RBA - </w:t>
      </w:r>
      <w:proofErr w:type="spellStart"/>
      <w:r w:rsidRPr="009548E1">
        <w:t>Raiffeisenbank</w:t>
      </w:r>
      <w:proofErr w:type="spellEnd"/>
      <w:r w:rsidRPr="009548E1">
        <w:t xml:space="preserve"> Hrvatska. U okviru ovih izdataka evidentiraju se i otplate glavnica kredita Sveučilišta koji se podmiruju iz državnog proračuna.</w:t>
      </w:r>
    </w:p>
    <w:p w14:paraId="6CEBA84E" w14:textId="77777777" w:rsidR="00F12FAC" w:rsidRPr="009548E1" w:rsidRDefault="00F12FAC" w:rsidP="00F12FAC">
      <w:pPr>
        <w:jc w:val="both"/>
      </w:pPr>
    </w:p>
    <w:p w14:paraId="27A4B013" w14:textId="546C4A88" w:rsidR="00F12FAC" w:rsidRPr="009548E1" w:rsidRDefault="00E7292B" w:rsidP="00F12FAC">
      <w:pPr>
        <w:keepNext/>
        <w:jc w:val="center"/>
        <w:rPr>
          <w:sz w:val="28"/>
        </w:rPr>
      </w:pPr>
      <w:r>
        <w:rPr>
          <w:sz w:val="28"/>
        </w:rPr>
        <w:t>Bilješka 64</w:t>
      </w:r>
      <w:r w:rsidR="00F12FAC" w:rsidRPr="009548E1">
        <w:rPr>
          <w:sz w:val="28"/>
        </w:rPr>
        <w:t>.</w:t>
      </w:r>
    </w:p>
    <w:p w14:paraId="74038691" w14:textId="77777777" w:rsidR="00F12FAC" w:rsidRPr="009548E1" w:rsidRDefault="00F12FAC" w:rsidP="00E7292B">
      <w:pPr>
        <w:jc w:val="center"/>
        <w:rPr>
          <w:sz w:val="28"/>
          <w:szCs w:val="28"/>
        </w:rPr>
      </w:pPr>
      <w:r w:rsidRPr="009548E1">
        <w:rPr>
          <w:sz w:val="28"/>
          <w:szCs w:val="28"/>
        </w:rPr>
        <w:t>Šifra 55 Izdaci za otplatu glavnice za izdane vrijednosne papire</w:t>
      </w:r>
    </w:p>
    <w:p w14:paraId="464E5552" w14:textId="77777777" w:rsidR="00F12FAC" w:rsidRPr="009548E1" w:rsidRDefault="00F12FAC" w:rsidP="00F12FAC">
      <w:pPr>
        <w:jc w:val="both"/>
      </w:pPr>
      <w:r w:rsidRPr="009548E1">
        <w:t>Izdaci za dane zajmove i depozite u 2023. godini izvršeni su u ukupnom iznosu od 2.775.707.466,28 eura, dok su u istom razdoblju 2022. godine izvršeni u iznosu od 3.627.657.539,02 eura, što predstavlja smanjenje od 23,5% u promatranom razdoblju.</w:t>
      </w:r>
    </w:p>
    <w:p w14:paraId="462C1350" w14:textId="77777777" w:rsidR="00F12FAC" w:rsidRPr="009548E1" w:rsidRDefault="00F12FAC" w:rsidP="00F12FAC">
      <w:pPr>
        <w:jc w:val="both"/>
      </w:pPr>
    </w:p>
    <w:p w14:paraId="756174B1" w14:textId="1B641F94" w:rsidR="00E7292B" w:rsidRPr="009548E1" w:rsidRDefault="00E7292B" w:rsidP="00E7292B">
      <w:pPr>
        <w:keepNext/>
        <w:jc w:val="center"/>
        <w:rPr>
          <w:sz w:val="28"/>
        </w:rPr>
      </w:pPr>
      <w:r>
        <w:rPr>
          <w:sz w:val="28"/>
        </w:rPr>
        <w:t>Bilješka 65</w:t>
      </w:r>
      <w:r w:rsidRPr="009548E1">
        <w:rPr>
          <w:sz w:val="28"/>
        </w:rPr>
        <w:t>.</w:t>
      </w:r>
    </w:p>
    <w:p w14:paraId="6296EF15" w14:textId="502BFD4C" w:rsidR="00E7292B" w:rsidRPr="00BD1EA0" w:rsidRDefault="00BD1EA0" w:rsidP="00BD1EA0">
      <w:pPr>
        <w:keepNext/>
        <w:jc w:val="center"/>
        <w:rPr>
          <w:sz w:val="28"/>
          <w:szCs w:val="28"/>
        </w:rPr>
      </w:pPr>
      <w:r>
        <w:rPr>
          <w:sz w:val="28"/>
          <w:szCs w:val="28"/>
        </w:rPr>
        <w:t>Š</w:t>
      </w:r>
      <w:r w:rsidRPr="00BD1EA0">
        <w:rPr>
          <w:sz w:val="28"/>
          <w:szCs w:val="28"/>
        </w:rPr>
        <w:t>ifra 552</w:t>
      </w:r>
      <w:r>
        <w:rPr>
          <w:sz w:val="28"/>
          <w:szCs w:val="28"/>
        </w:rPr>
        <w:t xml:space="preserve"> Izdaci</w:t>
      </w:r>
      <w:r w:rsidRPr="00BD1EA0">
        <w:rPr>
          <w:sz w:val="28"/>
          <w:szCs w:val="28"/>
        </w:rPr>
        <w:t xml:space="preserve"> za otplatu glavnice za izdane obveznice</w:t>
      </w:r>
    </w:p>
    <w:p w14:paraId="7D013A9C" w14:textId="77777777" w:rsidR="00E7292B" w:rsidRDefault="00E7292B" w:rsidP="00F12FAC">
      <w:pPr>
        <w:keepNext/>
        <w:jc w:val="both"/>
      </w:pPr>
    </w:p>
    <w:p w14:paraId="23EDCCD0" w14:textId="6CC7C0FA" w:rsidR="00F12FAC" w:rsidRPr="009548E1" w:rsidRDefault="00F12FAC" w:rsidP="00F12FAC">
      <w:pPr>
        <w:keepNext/>
        <w:jc w:val="both"/>
      </w:pPr>
      <w:r w:rsidRPr="009548E1">
        <w:t>U okviru izdatka</w:t>
      </w:r>
      <w:r w:rsidR="00BD1EA0" w:rsidRPr="00BD1EA0">
        <w:t xml:space="preserve"> za otplatu glavnice za izdane obveznice</w:t>
      </w:r>
      <w:r w:rsidR="00BD1EA0">
        <w:t xml:space="preserve"> koji su</w:t>
      </w:r>
      <w:r w:rsidRPr="009548E1">
        <w:t xml:space="preserve"> </w:t>
      </w:r>
      <w:r w:rsidR="00BD1EA0">
        <w:t>u 2023. godini</w:t>
      </w:r>
      <w:r w:rsidRPr="009548E1">
        <w:t xml:space="preserve"> </w:t>
      </w:r>
      <w:r w:rsidR="00BD1EA0">
        <w:t xml:space="preserve">ostvareni u iznosu od </w:t>
      </w:r>
      <w:r w:rsidR="00BD1EA0" w:rsidRPr="009548E1">
        <w:t>2.667.173.758,82 eura</w:t>
      </w:r>
      <w:r w:rsidR="00BD1EA0">
        <w:t xml:space="preserve"> </w:t>
      </w:r>
      <w:r w:rsidRPr="009548E1">
        <w:t>n</w:t>
      </w:r>
      <w:r w:rsidR="00BD1EA0">
        <w:t>ajznačajniji iznos odnosi se na</w:t>
      </w:r>
      <w:r w:rsidRPr="009548E1">
        <w:t>:</w:t>
      </w:r>
    </w:p>
    <w:p w14:paraId="74D71EDA" w14:textId="77777777" w:rsidR="00F12FAC" w:rsidRPr="009548E1" w:rsidRDefault="00F12FAC" w:rsidP="00F12FAC">
      <w:pPr>
        <w:pStyle w:val="Odlomakpopisa"/>
        <w:numPr>
          <w:ilvl w:val="0"/>
          <w:numId w:val="10"/>
        </w:numPr>
        <w:jc w:val="both"/>
      </w:pPr>
      <w:r w:rsidRPr="009548E1">
        <w:rPr>
          <w:i/>
        </w:rPr>
        <w:t>Izdaci za otplatu glavnice za izdane obveznice u zemlji</w:t>
      </w:r>
      <w:r w:rsidRPr="009548E1">
        <w:t xml:space="preserve"> u 2023. godini ostvareni su u iznosu od 1.499.767.735,00 eura. Dana 27. studenoga 2023. godine dospjela je i iskupljena obveznica izdana u dvije tranše i to: 24. studenoga 2017. godine u iznosu 5,8 milijardi kuna uz nepromjenjivi kamatni kupon 1,75% polugodišnje i 5. srpnja 2018. godine u iznosu 5,5 milijardi kuna uz nepromjenjivi kamatni kupon 1,75% polugodišnje što iznosi 1.499.767.735,00 eura.</w:t>
      </w:r>
    </w:p>
    <w:p w14:paraId="7BC7827C" w14:textId="77777777" w:rsidR="00F12FAC" w:rsidRPr="009548E1" w:rsidRDefault="00F12FAC" w:rsidP="00F12FAC">
      <w:pPr>
        <w:pStyle w:val="Odlomakpopisa"/>
        <w:numPr>
          <w:ilvl w:val="0"/>
          <w:numId w:val="10"/>
        </w:numPr>
        <w:jc w:val="both"/>
      </w:pPr>
      <w:r w:rsidRPr="009548E1">
        <w:rPr>
          <w:i/>
        </w:rPr>
        <w:t>Izdaci za otplatu glavnice za izdane obveznice u inozemstvu</w:t>
      </w:r>
      <w:r w:rsidRPr="009548E1">
        <w:t xml:space="preserve"> u 2023. godini ostvareni su u iznosu od 1.167.406.023,82 eura. Dana 31. ožujka 2023. godine dospjela je i iskupljena desetogodišnja međunarodna obveznica u iznosu od 1,5 milijarde USD, koja je izdana u travnju 2013. godine i </w:t>
      </w:r>
      <w:proofErr w:type="spellStart"/>
      <w:r w:rsidRPr="009548E1">
        <w:t>swapirana</w:t>
      </w:r>
      <w:proofErr w:type="spellEnd"/>
      <w:r w:rsidRPr="009548E1">
        <w:t xml:space="preserve"> u eure po fiksnom tečaju 1,2849 USD za 1 euro što iznosi 1.167.406.023,82 eura.</w:t>
      </w:r>
    </w:p>
    <w:p w14:paraId="2FE5C177" w14:textId="77777777" w:rsidR="00F12FAC" w:rsidRPr="009548E1" w:rsidRDefault="00F12FAC" w:rsidP="00F12FAC">
      <w:pPr>
        <w:jc w:val="both"/>
      </w:pPr>
    </w:p>
    <w:p w14:paraId="1C3BB3CC" w14:textId="77777777" w:rsidR="00F12FAC" w:rsidRPr="009548E1" w:rsidRDefault="00F12FAC" w:rsidP="00F12FAC">
      <w:pPr>
        <w:jc w:val="both"/>
      </w:pPr>
      <w:r w:rsidRPr="009548E1">
        <w:t>Osim navedenog, u okviru izdataka za otplatu glavnice za izdane trezorske zapise u financijskom izvještaju državnog proračuna iskazan je iznos od 108.533.707,46 eura obzirom na to da se kratkoročni primici i izdaci iskazuju u neto iznosu nakon što se sučele prema istovrsnim kategorijama. Do kraja prosinca 2023. godine održano je 8 aukcija trezorskih zapisa na kojima je bilo ukupno 16 izdanja, od čega 7 izdanja s rokom dospijeća od 364 dana, 6 izdanja s rokom dospijeća od 182 dana  i 3 izdanja s rokom dospijeća od 91 dan.</w:t>
      </w:r>
    </w:p>
    <w:p w14:paraId="30C10C6F" w14:textId="5260E76E" w:rsidR="00F12FAC" w:rsidRPr="009548E1" w:rsidRDefault="00F12FAC" w:rsidP="00F12FAC">
      <w:pPr>
        <w:jc w:val="both"/>
      </w:pPr>
    </w:p>
    <w:p w14:paraId="7906C641" w14:textId="77777777" w:rsidR="00F12FAC" w:rsidRPr="009548E1" w:rsidRDefault="00F12FAC" w:rsidP="00F12FAC">
      <w:pPr>
        <w:jc w:val="both"/>
      </w:pPr>
    </w:p>
    <w:p w14:paraId="707BA474" w14:textId="77777777" w:rsidR="00F12FAC" w:rsidRPr="009548E1" w:rsidRDefault="00F12FAC" w:rsidP="00F12FAC">
      <w:pPr>
        <w:pStyle w:val="StandardWeb"/>
        <w:shd w:val="clear" w:color="auto" w:fill="FFFFFF"/>
        <w:spacing w:before="0" w:beforeAutospacing="0" w:after="0" w:afterAutospacing="0"/>
        <w:rPr>
          <w:rFonts w:ascii="Calibri" w:hAnsi="Calibri" w:cs="Calibri"/>
          <w:color w:val="000000"/>
        </w:rPr>
        <w:sectPr w:rsidR="00F12FAC" w:rsidRPr="009548E1">
          <w:pgSz w:w="11906" w:h="16838"/>
          <w:pgMar w:top="1417" w:right="1417" w:bottom="1417" w:left="1417" w:header="708" w:footer="708" w:gutter="0"/>
          <w:cols w:space="708"/>
          <w:docGrid w:linePitch="360"/>
        </w:sectPr>
      </w:pPr>
    </w:p>
    <w:p w14:paraId="4A5A5579" w14:textId="77777777" w:rsidR="00293F62" w:rsidRPr="009548E1" w:rsidRDefault="00293F62" w:rsidP="00293F62">
      <w:pPr>
        <w:pageBreakBefore/>
        <w:jc w:val="center"/>
        <w:outlineLvl w:val="0"/>
        <w:rPr>
          <w:b/>
          <w:bCs/>
          <w:sz w:val="28"/>
        </w:rPr>
      </w:pPr>
      <w:r w:rsidRPr="009548E1">
        <w:rPr>
          <w:b/>
          <w:bCs/>
          <w:sz w:val="28"/>
        </w:rPr>
        <w:t>BILJEŠKE UZ BILANCU</w:t>
      </w:r>
    </w:p>
    <w:p w14:paraId="068DD72E" w14:textId="77777777" w:rsidR="00293F62" w:rsidRPr="009548E1" w:rsidRDefault="00293F62" w:rsidP="00293F62">
      <w:pPr>
        <w:jc w:val="both"/>
        <w:rPr>
          <w:bCs/>
          <w:szCs w:val="28"/>
        </w:rPr>
      </w:pPr>
    </w:p>
    <w:p w14:paraId="0A84B97C" w14:textId="77777777" w:rsidR="00293F62" w:rsidRPr="004E4679" w:rsidRDefault="00293F62" w:rsidP="00293F62">
      <w:pPr>
        <w:keepNext/>
        <w:spacing w:after="240"/>
        <w:jc w:val="center"/>
        <w:rPr>
          <w:sz w:val="28"/>
        </w:rPr>
      </w:pPr>
      <w:r w:rsidRPr="004E4679">
        <w:rPr>
          <w:sz w:val="28"/>
        </w:rPr>
        <w:t xml:space="preserve">Bilješka 1. </w:t>
      </w:r>
    </w:p>
    <w:p w14:paraId="603A6C60" w14:textId="59D5BAC3" w:rsidR="00293F62" w:rsidRDefault="00E562D9" w:rsidP="00293F62">
      <w:pPr>
        <w:jc w:val="both"/>
        <w:rPr>
          <w:szCs w:val="20"/>
        </w:rPr>
      </w:pPr>
      <w:r w:rsidRPr="00E562D9">
        <w:rPr>
          <w:szCs w:val="20"/>
        </w:rPr>
        <w:t xml:space="preserve">Obrazac BIL Državnog proračuna izrađen je na temelju podatka sadržanih u Glavnoj knjizi proračuna. Kako je već navedeno, Glavnu knjigu proračuna informatički podržava SAP sustav koji je izgrađen prvenstveno kao transakcijski sustav u koji se ručno unose podaci iz ostalih računovodstvenih sustava proračunskih korisnika temeljem zahtjeva za plaćanje. Kroz projekt povezivanja informacijskih sustava proračunskih korisnika i sustava državne riznice stvorile su se pretpostavke za razvoj cjelovite računovodstvene funkcije. Projektom je razvijen </w:t>
      </w:r>
      <w:proofErr w:type="spellStart"/>
      <w:r w:rsidRPr="00E562D9">
        <w:rPr>
          <w:szCs w:val="20"/>
        </w:rPr>
        <w:t>Gateway</w:t>
      </w:r>
      <w:proofErr w:type="spellEnd"/>
      <w:r w:rsidRPr="00E562D9">
        <w:rPr>
          <w:szCs w:val="20"/>
        </w:rPr>
        <w:t xml:space="preserve"> kao središnji sustav za razmjenu elektroničkih dokumenata između sustava proračunskih korisnika i sustava državne riznice, a povezivanjem svih proračunskih korisnika dobit će se cjeloviti podaci o obvezama korisnika u Glavnoj knjizi proračuna. Iako je napravljen veliki iskorak u stvaranju cjelovite Bilance u odnosu na ranije godine, još uvijek se dio evidencija o obvezama i najveći dio potraživanja koje su unesene u Glavnu knjigu kroz SAP sustav temelje na ručnim knjiženjima djelatnika u Državnoj riznici, a podloga im je u analitičkim evidencijama koje su kod proračunskih korisnika i/ili pojedinih organizacijskih jedinica Ministarstva financija. Kao što je naglašeno, do potpunog povezivanja analitičkih evidencija svih proračunskih korisnika nemoguće je ručnim knjiženjima pratiti sve poslovne događaje i transakcije vezane uz bilančne pozicije svih subjekata središnje države. Konsolidacijom bilanci proračunskih korisnika s bilancom Državnog proračuna dobivaju se sveobuhvatni podaci o potraživanjima i obvezama Državnog proračuna.</w:t>
      </w:r>
    </w:p>
    <w:p w14:paraId="776ABA41" w14:textId="77777777" w:rsidR="00E562D9" w:rsidRDefault="00E562D9" w:rsidP="00293F62">
      <w:pPr>
        <w:jc w:val="both"/>
        <w:rPr>
          <w:szCs w:val="20"/>
        </w:rPr>
      </w:pPr>
    </w:p>
    <w:p w14:paraId="3C5C8C92" w14:textId="77777777" w:rsidR="00293F62" w:rsidRPr="009548E1" w:rsidRDefault="00293F62" w:rsidP="00293F62">
      <w:pPr>
        <w:keepNext/>
        <w:jc w:val="center"/>
        <w:rPr>
          <w:sz w:val="28"/>
        </w:rPr>
      </w:pPr>
      <w:r w:rsidRPr="009548E1">
        <w:rPr>
          <w:sz w:val="28"/>
        </w:rPr>
        <w:t>Bilješka 2.</w:t>
      </w:r>
    </w:p>
    <w:p w14:paraId="458993E2" w14:textId="77777777" w:rsidR="00293F62" w:rsidRDefault="00293F62" w:rsidP="00293F62">
      <w:pPr>
        <w:jc w:val="center"/>
        <w:rPr>
          <w:bCs/>
          <w:sz w:val="28"/>
        </w:rPr>
      </w:pPr>
      <w:r w:rsidRPr="00522DFC">
        <w:rPr>
          <w:bCs/>
          <w:sz w:val="28"/>
        </w:rPr>
        <w:t xml:space="preserve">Konverzija </w:t>
      </w:r>
      <w:r>
        <w:rPr>
          <w:bCs/>
          <w:sz w:val="28"/>
        </w:rPr>
        <w:t>zaključnih stanja računa G</w:t>
      </w:r>
      <w:r w:rsidRPr="00522DFC">
        <w:rPr>
          <w:bCs/>
          <w:sz w:val="28"/>
        </w:rPr>
        <w:t>lavne knjige</w:t>
      </w:r>
      <w:r>
        <w:rPr>
          <w:bCs/>
          <w:sz w:val="28"/>
        </w:rPr>
        <w:t xml:space="preserve"> državnog proračuna</w:t>
      </w:r>
      <w:r w:rsidRPr="00522DFC">
        <w:rPr>
          <w:bCs/>
          <w:sz w:val="28"/>
        </w:rPr>
        <w:t xml:space="preserve"> izraženih u kunama na dan 31.12.2022. u početna stanja u eurima na dan 1.1.2023. sukladno Zakonu o uvođenju eura (Narodne novine, br. 57/22 i 88/22)</w:t>
      </w:r>
    </w:p>
    <w:p w14:paraId="49FB0C95" w14:textId="77777777" w:rsidR="00293F62" w:rsidRPr="00522DFC" w:rsidRDefault="00293F62" w:rsidP="00293F62">
      <w:pPr>
        <w:jc w:val="center"/>
        <w:rPr>
          <w:bCs/>
          <w:sz w:val="28"/>
        </w:rPr>
      </w:pPr>
    </w:p>
    <w:p w14:paraId="3F1E94E8" w14:textId="77777777" w:rsidR="00293F62" w:rsidRPr="00522DFC" w:rsidRDefault="00293F62" w:rsidP="00293F62">
      <w:pPr>
        <w:jc w:val="both"/>
      </w:pPr>
      <w:r w:rsidRPr="00522DFC">
        <w:rPr>
          <w:bCs/>
        </w:rPr>
        <w:t xml:space="preserve">Početna stanja </w:t>
      </w:r>
      <w:r>
        <w:t>na računima u G</w:t>
      </w:r>
      <w:r w:rsidRPr="00522DFC">
        <w:t xml:space="preserve">lavnoj knjizi </w:t>
      </w:r>
      <w:r>
        <w:t>državnog proračuna</w:t>
      </w:r>
      <w:r w:rsidRPr="00522DFC">
        <w:t xml:space="preserve"> </w:t>
      </w:r>
      <w:r w:rsidRPr="00522DFC">
        <w:rPr>
          <w:bCs/>
        </w:rPr>
        <w:t xml:space="preserve">na dan 1.1.2023. </w:t>
      </w:r>
      <w:r>
        <w:rPr>
          <w:bCs/>
        </w:rPr>
        <w:t>iskazala su se</w:t>
      </w:r>
      <w:r w:rsidRPr="00522DFC">
        <w:rPr>
          <w:bCs/>
        </w:rPr>
        <w:t xml:space="preserve"> u eurima</w:t>
      </w:r>
      <w:r w:rsidRPr="00522DFC">
        <w:t xml:space="preserve">, a </w:t>
      </w:r>
      <w:proofErr w:type="spellStart"/>
      <w:r w:rsidRPr="00522DFC">
        <w:t>izračun</w:t>
      </w:r>
      <w:r>
        <w:t>la</w:t>
      </w:r>
      <w:proofErr w:type="spellEnd"/>
      <w:r w:rsidRPr="00522DFC">
        <w:t xml:space="preserve"> se konverzijom iznosa</w:t>
      </w:r>
      <w:r>
        <w:t xml:space="preserve"> zaključnih stanja računa G</w:t>
      </w:r>
      <w:r w:rsidRPr="00522DFC">
        <w:t>lavne knjige i izraženih u kunama na dan 31.12.2022., a prema fiksnom tečaju konverzije i pravilima za preračunavanje i zaokruživanje sukladno Zakonu o uvođenju eura.</w:t>
      </w:r>
    </w:p>
    <w:p w14:paraId="13436DE3" w14:textId="77777777" w:rsidR="00293F62" w:rsidRPr="00522DFC" w:rsidRDefault="00293F62" w:rsidP="00293F62">
      <w:pPr>
        <w:jc w:val="both"/>
      </w:pPr>
    </w:p>
    <w:p w14:paraId="1CDB5CA2" w14:textId="77777777" w:rsidR="00293F62" w:rsidRPr="00522DFC" w:rsidRDefault="00293F62" w:rsidP="00293F62">
      <w:pPr>
        <w:jc w:val="both"/>
      </w:pPr>
      <w:r>
        <w:t xml:space="preserve">Sukladno </w:t>
      </w:r>
      <w:r w:rsidRPr="00522DFC">
        <w:rPr>
          <w:i/>
        </w:rPr>
        <w:t>Uputi Ministarstva financija za knjigovodstvene evidencije na prijelazu godine u procesu prelas</w:t>
      </w:r>
      <w:r>
        <w:rPr>
          <w:i/>
        </w:rPr>
        <w:t>ka na euro kao službene valute Republike H</w:t>
      </w:r>
      <w:r w:rsidRPr="00522DFC">
        <w:rPr>
          <w:i/>
        </w:rPr>
        <w:t>rvatske</w:t>
      </w:r>
      <w:r>
        <w:t>, a</w:t>
      </w:r>
      <w:r w:rsidRPr="00522DFC">
        <w:t>ko</w:t>
      </w:r>
      <w:r>
        <w:t xml:space="preserve"> su</w:t>
      </w:r>
      <w:r w:rsidRPr="00522DFC">
        <w:t xml:space="preserve"> zbog pravila zaokruživanja kod preračunavanja zaključnih stanja u kunama na dan 31.12.2022. u početna stanja u eurima na dan 1.1.2023. nasta</w:t>
      </w:r>
      <w:r>
        <w:t>le</w:t>
      </w:r>
      <w:r w:rsidRPr="00522DFC">
        <w:t xml:space="preserve"> razlika između ukupne vrijednosti imovine (aktive) te ukupne vrijednosti obveza i vlastitih izvora (pasive) </w:t>
      </w:r>
      <w:r>
        <w:t>tu je razliku bilo potrebno</w:t>
      </w:r>
      <w:r w:rsidRPr="00522DFC">
        <w:t xml:space="preserve"> iskazati na teret ili u korist vlastitih izvora u po</w:t>
      </w:r>
      <w:r>
        <w:t>četnoj bilanci na dan 1.1.2023. godine. Također, navedeno je kako je u</w:t>
      </w:r>
      <w:r w:rsidRPr="00522DFC">
        <w:t xml:space="preserve"> bilješkama uz financijske izvješ</w:t>
      </w:r>
      <w:r>
        <w:t>taje za 2023. godinu potrebno</w:t>
      </w:r>
      <w:r w:rsidRPr="00522DFC">
        <w:t xml:space="preserve"> naznačiti koliki je iznos razlike između ukupne vrijednosti imovine te ukupne vrijednosti obveza i vlastitih izvora (kapital) u bilanci na dan 1.1.2023. nastao uslijed preračunavanja kuna u euro iskazan na teret ili u korist vlastitih izvora (kapitala).</w:t>
      </w:r>
    </w:p>
    <w:p w14:paraId="267D6B0D" w14:textId="77777777" w:rsidR="00293F62" w:rsidRDefault="00293F62" w:rsidP="00293F62">
      <w:pPr>
        <w:jc w:val="both"/>
        <w:rPr>
          <w:bCs/>
          <w:szCs w:val="20"/>
        </w:rPr>
      </w:pPr>
    </w:p>
    <w:p w14:paraId="34808E0A" w14:textId="77777777" w:rsidR="00293F62" w:rsidRDefault="00293F62" w:rsidP="00293F62">
      <w:pPr>
        <w:jc w:val="both"/>
        <w:rPr>
          <w:bCs/>
          <w:szCs w:val="20"/>
        </w:rPr>
      </w:pPr>
      <w:r>
        <w:rPr>
          <w:bCs/>
          <w:szCs w:val="20"/>
        </w:rPr>
        <w:t xml:space="preserve">Ministarstvo financija utvrdilo je razliku </w:t>
      </w:r>
      <w:r w:rsidRPr="00934463">
        <w:rPr>
          <w:bCs/>
          <w:szCs w:val="20"/>
        </w:rPr>
        <w:t>između ukupne vrijednosti imovine (aktive) te ukupne vrijednosti obveza i vlastitih izvora (pasive)</w:t>
      </w:r>
      <w:r>
        <w:rPr>
          <w:bCs/>
          <w:szCs w:val="20"/>
        </w:rPr>
        <w:t xml:space="preserve"> u postupku konverzije stanja iz valute kuna u valutu euro u ukupnom iznosu od</w:t>
      </w:r>
      <w:r w:rsidRPr="00934463">
        <w:rPr>
          <w:bCs/>
          <w:szCs w:val="20"/>
        </w:rPr>
        <w:t xml:space="preserve"> </w:t>
      </w:r>
      <w:r w:rsidRPr="00522DFC">
        <w:rPr>
          <w:bCs/>
          <w:szCs w:val="20"/>
        </w:rPr>
        <w:t>1,51</w:t>
      </w:r>
      <w:r>
        <w:rPr>
          <w:bCs/>
          <w:szCs w:val="20"/>
        </w:rPr>
        <w:t xml:space="preserve"> eura te je navedenu razliku evidentiralo na teret rezultata poslovanja </w:t>
      </w:r>
      <w:r w:rsidRPr="00934463">
        <w:rPr>
          <w:bCs/>
          <w:szCs w:val="20"/>
        </w:rPr>
        <w:t>922210000</w:t>
      </w:r>
      <w:r>
        <w:rPr>
          <w:bCs/>
          <w:szCs w:val="20"/>
        </w:rPr>
        <w:t xml:space="preserve"> Manjak prihoda poslovanja.</w:t>
      </w:r>
    </w:p>
    <w:p w14:paraId="42D5F7F0" w14:textId="77777777" w:rsidR="00293F62" w:rsidRPr="009548E1" w:rsidRDefault="00293F62" w:rsidP="00293F62">
      <w:pPr>
        <w:jc w:val="both"/>
        <w:rPr>
          <w:bCs/>
          <w:szCs w:val="20"/>
        </w:rPr>
      </w:pPr>
    </w:p>
    <w:p w14:paraId="25959804" w14:textId="77777777" w:rsidR="00293F62" w:rsidRPr="009548E1" w:rsidRDefault="00293F62" w:rsidP="00293F62">
      <w:pPr>
        <w:keepNext/>
        <w:jc w:val="center"/>
        <w:rPr>
          <w:sz w:val="28"/>
        </w:rPr>
      </w:pPr>
      <w:r>
        <w:rPr>
          <w:sz w:val="28"/>
        </w:rPr>
        <w:t>Bilješka 3</w:t>
      </w:r>
      <w:r w:rsidRPr="009548E1">
        <w:rPr>
          <w:sz w:val="28"/>
        </w:rPr>
        <w:t>.</w:t>
      </w:r>
    </w:p>
    <w:p w14:paraId="76F5A585" w14:textId="77777777" w:rsidR="00293F62" w:rsidRPr="009548E1" w:rsidRDefault="00293F62" w:rsidP="00293F62">
      <w:pPr>
        <w:keepNext/>
        <w:spacing w:after="240"/>
        <w:jc w:val="center"/>
        <w:rPr>
          <w:bCs/>
          <w:sz w:val="28"/>
        </w:rPr>
      </w:pPr>
      <w:r w:rsidRPr="009548E1">
        <w:rPr>
          <w:bCs/>
          <w:sz w:val="28"/>
        </w:rPr>
        <w:t xml:space="preserve">Šifra 11 Novac u banci i blagajni </w:t>
      </w:r>
    </w:p>
    <w:p w14:paraId="48DBD7E0" w14:textId="77777777" w:rsidR="00293F62" w:rsidRPr="009548E1" w:rsidRDefault="00293F62" w:rsidP="00293F62">
      <w:pPr>
        <w:keepNext/>
        <w:jc w:val="both"/>
      </w:pPr>
      <w:r w:rsidRPr="009548E1">
        <w:t xml:space="preserve">Stanje na šifri 11 Novac u banci i blagajni </w:t>
      </w:r>
      <w:r>
        <w:t xml:space="preserve">na dan 31. prosinca 2023. </w:t>
      </w:r>
      <w:r w:rsidRPr="009548E1">
        <w:t>obuhvaća</w:t>
      </w:r>
      <w:r>
        <w:t>ju stanja novčanih</w:t>
      </w:r>
      <w:r w:rsidRPr="009548E1">
        <w:t xml:space="preserve"> sredstva</w:t>
      </w:r>
      <w:r>
        <w:t xml:space="preserve"> kako slijedi</w:t>
      </w:r>
      <w:r w:rsidRPr="009548E1">
        <w:t>:</w:t>
      </w:r>
    </w:p>
    <w:p w14:paraId="34F59041" w14:textId="77777777" w:rsidR="00293F62" w:rsidRPr="009548E1" w:rsidRDefault="00293F62" w:rsidP="00293F62">
      <w:pPr>
        <w:jc w:val="both"/>
        <w:rPr>
          <w:b/>
          <w:sz w:val="20"/>
          <w:szCs w:val="20"/>
        </w:rPr>
      </w:pPr>
    </w:p>
    <w:p w14:paraId="4BABEC52" w14:textId="77777777" w:rsidR="00293F62" w:rsidRPr="009548E1" w:rsidRDefault="00293F62" w:rsidP="00293F62">
      <w:pPr>
        <w:jc w:val="both"/>
        <w:rPr>
          <w:b/>
          <w:sz w:val="20"/>
          <w:szCs w:val="20"/>
        </w:rPr>
      </w:pPr>
      <w:r w:rsidRPr="009548E1">
        <w:rPr>
          <w:b/>
          <w:sz w:val="20"/>
          <w:szCs w:val="20"/>
        </w:rPr>
        <w:t>Tablica 1.</w:t>
      </w:r>
      <w:r>
        <w:rPr>
          <w:b/>
          <w:sz w:val="20"/>
          <w:szCs w:val="20"/>
        </w:rPr>
        <w:t xml:space="preserve"> Stanje novca u banci i blagajni</w:t>
      </w:r>
    </w:p>
    <w:tbl>
      <w:tblPr>
        <w:tblW w:w="81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5231"/>
        <w:gridCol w:w="2111"/>
      </w:tblGrid>
      <w:tr w:rsidR="00293F62" w:rsidRPr="009548E1" w14:paraId="49229F63" w14:textId="77777777" w:rsidTr="005C7D38">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5F669" w14:textId="77777777" w:rsidR="00293F62" w:rsidRPr="009548E1" w:rsidRDefault="00293F62" w:rsidP="005C7D38">
            <w:pPr>
              <w:rPr>
                <w:b/>
                <w:bCs/>
                <w:sz w:val="20"/>
                <w:szCs w:val="20"/>
              </w:rPr>
            </w:pPr>
            <w:r w:rsidRPr="009548E1">
              <w:rPr>
                <w:b/>
                <w:bCs/>
                <w:sz w:val="20"/>
                <w:szCs w:val="20"/>
              </w:rPr>
              <w:t> </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ACDD9" w14:textId="77777777" w:rsidR="00293F62" w:rsidRPr="009548E1" w:rsidRDefault="00293F62" w:rsidP="005C7D38">
            <w:pPr>
              <w:rPr>
                <w:b/>
                <w:bCs/>
                <w:sz w:val="20"/>
                <w:szCs w:val="20"/>
              </w:rPr>
            </w:pPr>
            <w:r w:rsidRPr="009548E1">
              <w:rPr>
                <w:b/>
                <w:bCs/>
                <w:sz w:val="20"/>
                <w:szCs w:val="20"/>
              </w:rPr>
              <w:t>NOVČANA SREDSTVA</w:t>
            </w:r>
          </w:p>
        </w:tc>
        <w:tc>
          <w:tcPr>
            <w:tcW w:w="2111" w:type="dxa"/>
            <w:tcBorders>
              <w:top w:val="single" w:sz="4" w:space="0" w:color="auto"/>
              <w:left w:val="single" w:sz="4" w:space="0" w:color="auto"/>
              <w:bottom w:val="single" w:sz="4" w:space="0" w:color="auto"/>
              <w:right w:val="single" w:sz="4" w:space="0" w:color="auto"/>
            </w:tcBorders>
            <w:vAlign w:val="center"/>
          </w:tcPr>
          <w:p w14:paraId="2857BE0C" w14:textId="77777777" w:rsidR="00293F62" w:rsidRPr="009548E1" w:rsidRDefault="00293F62" w:rsidP="005C7D38">
            <w:pPr>
              <w:jc w:val="right"/>
              <w:rPr>
                <w:b/>
                <w:sz w:val="20"/>
              </w:rPr>
            </w:pPr>
            <w:r>
              <w:rPr>
                <w:b/>
                <w:sz w:val="20"/>
              </w:rPr>
              <w:t>3.471.421.883,97</w:t>
            </w:r>
          </w:p>
        </w:tc>
      </w:tr>
      <w:tr w:rsidR="00293F62" w:rsidRPr="009548E1" w14:paraId="435B8D3D" w14:textId="77777777" w:rsidTr="005C7D38">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96850" w14:textId="77777777" w:rsidR="00293F62" w:rsidRPr="009548E1" w:rsidRDefault="00293F62" w:rsidP="005C7D38">
            <w:pPr>
              <w:jc w:val="right"/>
              <w:rPr>
                <w:sz w:val="20"/>
                <w:szCs w:val="20"/>
              </w:rPr>
            </w:pPr>
            <w:r w:rsidRPr="009548E1">
              <w:rPr>
                <w:sz w:val="20"/>
                <w:szCs w:val="20"/>
              </w:rPr>
              <w:t>1111</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3AC9D" w14:textId="77777777" w:rsidR="00293F62" w:rsidRPr="009548E1" w:rsidRDefault="00293F62" w:rsidP="005C7D38">
            <w:pPr>
              <w:rPr>
                <w:sz w:val="20"/>
                <w:szCs w:val="20"/>
              </w:rPr>
            </w:pPr>
            <w:r w:rsidRPr="009548E1">
              <w:rPr>
                <w:sz w:val="20"/>
                <w:szCs w:val="20"/>
              </w:rPr>
              <w:t xml:space="preserve">Novac na žiro računu kod Hrvatske narodne banke </w:t>
            </w:r>
          </w:p>
        </w:tc>
        <w:tc>
          <w:tcPr>
            <w:tcW w:w="2111" w:type="dxa"/>
            <w:tcBorders>
              <w:top w:val="single" w:sz="4" w:space="0" w:color="auto"/>
              <w:left w:val="single" w:sz="4" w:space="0" w:color="auto"/>
              <w:bottom w:val="single" w:sz="4" w:space="0" w:color="auto"/>
              <w:right w:val="single" w:sz="4" w:space="0" w:color="auto"/>
            </w:tcBorders>
            <w:vAlign w:val="center"/>
          </w:tcPr>
          <w:p w14:paraId="7871DDEC" w14:textId="77777777" w:rsidR="00293F62" w:rsidRPr="009548E1" w:rsidRDefault="00293F62" w:rsidP="005C7D38">
            <w:pPr>
              <w:jc w:val="right"/>
              <w:rPr>
                <w:sz w:val="20"/>
              </w:rPr>
            </w:pPr>
            <w:r w:rsidRPr="009548E1">
              <w:rPr>
                <w:sz w:val="20"/>
              </w:rPr>
              <w:t>3.228</w:t>
            </w:r>
            <w:r>
              <w:rPr>
                <w:sz w:val="20"/>
              </w:rPr>
              <w:t>.</w:t>
            </w:r>
            <w:r w:rsidRPr="009548E1">
              <w:rPr>
                <w:sz w:val="20"/>
              </w:rPr>
              <w:t>376.045,52</w:t>
            </w:r>
          </w:p>
        </w:tc>
      </w:tr>
      <w:tr w:rsidR="00293F62" w:rsidRPr="009548E1" w14:paraId="72D19911" w14:textId="77777777" w:rsidTr="005C7D38">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62338" w14:textId="77777777" w:rsidR="00293F62" w:rsidRPr="009548E1" w:rsidRDefault="00293F62" w:rsidP="005C7D38">
            <w:pPr>
              <w:jc w:val="right"/>
              <w:rPr>
                <w:sz w:val="20"/>
                <w:szCs w:val="20"/>
              </w:rPr>
            </w:pPr>
            <w:r w:rsidRPr="009548E1">
              <w:rPr>
                <w:sz w:val="20"/>
                <w:szCs w:val="20"/>
              </w:rPr>
              <w:t>1112</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1EED0" w14:textId="77777777" w:rsidR="00293F62" w:rsidRPr="009548E1" w:rsidRDefault="00293F62" w:rsidP="005C7D38">
            <w:pPr>
              <w:rPr>
                <w:sz w:val="20"/>
                <w:szCs w:val="20"/>
              </w:rPr>
            </w:pPr>
            <w:r w:rsidRPr="009548E1">
              <w:rPr>
                <w:sz w:val="20"/>
                <w:szCs w:val="20"/>
              </w:rPr>
              <w:t>Novac na žiro računu kod tuzemnih poslovnih banaka</w:t>
            </w:r>
          </w:p>
        </w:tc>
        <w:tc>
          <w:tcPr>
            <w:tcW w:w="2111" w:type="dxa"/>
            <w:tcBorders>
              <w:top w:val="single" w:sz="4" w:space="0" w:color="auto"/>
              <w:left w:val="single" w:sz="4" w:space="0" w:color="auto"/>
              <w:bottom w:val="single" w:sz="4" w:space="0" w:color="auto"/>
              <w:right w:val="single" w:sz="4" w:space="0" w:color="auto"/>
            </w:tcBorders>
            <w:vAlign w:val="center"/>
          </w:tcPr>
          <w:p w14:paraId="2DF388BD" w14:textId="77777777" w:rsidR="00293F62" w:rsidRPr="009548E1" w:rsidRDefault="00293F62" w:rsidP="005C7D38">
            <w:pPr>
              <w:jc w:val="right"/>
              <w:rPr>
                <w:sz w:val="20"/>
              </w:rPr>
            </w:pPr>
            <w:r w:rsidRPr="009548E1">
              <w:rPr>
                <w:sz w:val="20"/>
              </w:rPr>
              <w:t>227.807.083,52</w:t>
            </w:r>
          </w:p>
        </w:tc>
      </w:tr>
      <w:tr w:rsidR="00293F62" w:rsidRPr="009548E1" w14:paraId="02CAA679" w14:textId="77777777" w:rsidTr="005C7D38">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A1C48" w14:textId="77777777" w:rsidR="00293F62" w:rsidRPr="009548E1" w:rsidRDefault="00293F62" w:rsidP="005C7D38">
            <w:pPr>
              <w:jc w:val="right"/>
              <w:rPr>
                <w:sz w:val="20"/>
                <w:szCs w:val="20"/>
              </w:rPr>
            </w:pPr>
            <w:r w:rsidRPr="009548E1">
              <w:rPr>
                <w:sz w:val="20"/>
                <w:szCs w:val="20"/>
              </w:rPr>
              <w:t>1113</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BE0C7" w14:textId="77777777" w:rsidR="00293F62" w:rsidRPr="009548E1" w:rsidRDefault="00293F62" w:rsidP="005C7D38">
            <w:pPr>
              <w:rPr>
                <w:sz w:val="20"/>
                <w:szCs w:val="20"/>
              </w:rPr>
            </w:pPr>
            <w:r w:rsidRPr="009548E1">
              <w:rPr>
                <w:sz w:val="20"/>
                <w:szCs w:val="20"/>
              </w:rPr>
              <w:t>Novac na računu kod inozemnih poslovnih banaka</w:t>
            </w:r>
          </w:p>
        </w:tc>
        <w:tc>
          <w:tcPr>
            <w:tcW w:w="2111" w:type="dxa"/>
            <w:tcBorders>
              <w:top w:val="single" w:sz="4" w:space="0" w:color="auto"/>
              <w:left w:val="single" w:sz="4" w:space="0" w:color="auto"/>
              <w:bottom w:val="single" w:sz="4" w:space="0" w:color="auto"/>
              <w:right w:val="single" w:sz="4" w:space="0" w:color="auto"/>
            </w:tcBorders>
            <w:vAlign w:val="center"/>
          </w:tcPr>
          <w:p w14:paraId="7EFB1E69" w14:textId="77777777" w:rsidR="00293F62" w:rsidRPr="009548E1" w:rsidRDefault="00293F62" w:rsidP="005C7D38">
            <w:pPr>
              <w:jc w:val="right"/>
              <w:rPr>
                <w:sz w:val="20"/>
              </w:rPr>
            </w:pPr>
            <w:r w:rsidRPr="009548E1">
              <w:rPr>
                <w:sz w:val="20"/>
              </w:rPr>
              <w:t>70,86</w:t>
            </w:r>
          </w:p>
        </w:tc>
      </w:tr>
      <w:tr w:rsidR="00293F62" w:rsidRPr="009548E1" w14:paraId="354E065B" w14:textId="77777777" w:rsidTr="005C7D38">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11B0B" w14:textId="77777777" w:rsidR="00293F62" w:rsidRPr="009548E1" w:rsidRDefault="00293F62" w:rsidP="005C7D38">
            <w:pPr>
              <w:jc w:val="right"/>
              <w:rPr>
                <w:sz w:val="20"/>
                <w:szCs w:val="20"/>
              </w:rPr>
            </w:pPr>
            <w:r w:rsidRPr="009548E1">
              <w:rPr>
                <w:sz w:val="20"/>
                <w:szCs w:val="20"/>
              </w:rPr>
              <w:t>112</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7397C" w14:textId="77777777" w:rsidR="00293F62" w:rsidRPr="009548E1" w:rsidRDefault="00293F62" w:rsidP="005C7D38">
            <w:pPr>
              <w:rPr>
                <w:sz w:val="20"/>
                <w:szCs w:val="20"/>
              </w:rPr>
            </w:pPr>
            <w:r w:rsidRPr="009548E1">
              <w:rPr>
                <w:sz w:val="20"/>
                <w:szCs w:val="20"/>
              </w:rPr>
              <w:t>Izdvojena novčana sredstva</w:t>
            </w:r>
          </w:p>
        </w:tc>
        <w:tc>
          <w:tcPr>
            <w:tcW w:w="2111" w:type="dxa"/>
            <w:tcBorders>
              <w:top w:val="single" w:sz="4" w:space="0" w:color="auto"/>
              <w:left w:val="single" w:sz="4" w:space="0" w:color="auto"/>
              <w:bottom w:val="single" w:sz="4" w:space="0" w:color="auto"/>
              <w:right w:val="single" w:sz="4" w:space="0" w:color="auto"/>
            </w:tcBorders>
            <w:vAlign w:val="center"/>
          </w:tcPr>
          <w:p w14:paraId="40451546" w14:textId="77777777" w:rsidR="00293F62" w:rsidRPr="009548E1" w:rsidRDefault="00293F62" w:rsidP="005C7D38">
            <w:pPr>
              <w:jc w:val="right"/>
              <w:rPr>
                <w:sz w:val="20"/>
              </w:rPr>
            </w:pPr>
            <w:r w:rsidRPr="009548E1">
              <w:rPr>
                <w:sz w:val="20"/>
              </w:rPr>
              <w:t>15.238.684,07</w:t>
            </w:r>
          </w:p>
        </w:tc>
      </w:tr>
      <w:tr w:rsidR="00293F62" w:rsidRPr="009548E1" w14:paraId="051DEB68" w14:textId="77777777" w:rsidTr="005C7D38">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6A86E" w14:textId="77777777" w:rsidR="00293F62" w:rsidRPr="009548E1" w:rsidRDefault="00293F62" w:rsidP="005C7D38">
            <w:pPr>
              <w:jc w:val="right"/>
              <w:rPr>
                <w:sz w:val="20"/>
                <w:szCs w:val="20"/>
              </w:rPr>
            </w:pPr>
            <w:r>
              <w:rPr>
                <w:sz w:val="20"/>
                <w:szCs w:val="20"/>
              </w:rPr>
              <w:t>113</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82F7E" w14:textId="77777777" w:rsidR="00293F62" w:rsidRPr="009548E1" w:rsidRDefault="00293F62" w:rsidP="005C7D38">
            <w:pPr>
              <w:rPr>
                <w:sz w:val="20"/>
                <w:szCs w:val="20"/>
              </w:rPr>
            </w:pPr>
            <w:r>
              <w:rPr>
                <w:sz w:val="20"/>
                <w:szCs w:val="20"/>
              </w:rPr>
              <w:t>Novac u blagajni</w:t>
            </w:r>
          </w:p>
        </w:tc>
        <w:tc>
          <w:tcPr>
            <w:tcW w:w="2111" w:type="dxa"/>
            <w:tcBorders>
              <w:top w:val="single" w:sz="4" w:space="0" w:color="auto"/>
              <w:left w:val="single" w:sz="4" w:space="0" w:color="auto"/>
              <w:bottom w:val="single" w:sz="4" w:space="0" w:color="auto"/>
              <w:right w:val="single" w:sz="4" w:space="0" w:color="auto"/>
            </w:tcBorders>
            <w:vAlign w:val="center"/>
          </w:tcPr>
          <w:p w14:paraId="1392E312" w14:textId="77777777" w:rsidR="00293F62" w:rsidRPr="009548E1" w:rsidRDefault="00293F62" w:rsidP="005C7D38">
            <w:pPr>
              <w:jc w:val="right"/>
              <w:rPr>
                <w:sz w:val="20"/>
              </w:rPr>
            </w:pPr>
            <w:r>
              <w:rPr>
                <w:sz w:val="20"/>
              </w:rPr>
              <w:t>0,00</w:t>
            </w:r>
          </w:p>
        </w:tc>
      </w:tr>
    </w:tbl>
    <w:p w14:paraId="67DC9B4B" w14:textId="77777777" w:rsidR="00293F62" w:rsidRPr="009548E1" w:rsidRDefault="00293F62" w:rsidP="00293F62">
      <w:pPr>
        <w:jc w:val="both"/>
        <w:rPr>
          <w:b/>
          <w:sz w:val="20"/>
          <w:szCs w:val="20"/>
        </w:rPr>
      </w:pPr>
    </w:p>
    <w:p w14:paraId="153E7406" w14:textId="77777777" w:rsidR="00293F62" w:rsidRPr="009548E1" w:rsidRDefault="00293F62" w:rsidP="00293F62">
      <w:pPr>
        <w:jc w:val="center"/>
        <w:rPr>
          <w:sz w:val="28"/>
        </w:rPr>
      </w:pPr>
      <w:r>
        <w:rPr>
          <w:sz w:val="28"/>
        </w:rPr>
        <w:t>Bilješka 4</w:t>
      </w:r>
      <w:r w:rsidRPr="009548E1">
        <w:rPr>
          <w:sz w:val="28"/>
        </w:rPr>
        <w:t>.</w:t>
      </w:r>
    </w:p>
    <w:p w14:paraId="17F5D39D" w14:textId="77777777" w:rsidR="00293F62" w:rsidRPr="009548E1" w:rsidRDefault="00293F62" w:rsidP="00293F62">
      <w:pPr>
        <w:keepNext/>
        <w:spacing w:after="240"/>
        <w:jc w:val="center"/>
        <w:rPr>
          <w:sz w:val="28"/>
        </w:rPr>
      </w:pPr>
      <w:r w:rsidRPr="009548E1">
        <w:rPr>
          <w:bCs/>
          <w:sz w:val="28"/>
        </w:rPr>
        <w:t xml:space="preserve">Šifra 121 </w:t>
      </w:r>
      <w:r w:rsidRPr="009548E1">
        <w:rPr>
          <w:sz w:val="28"/>
        </w:rPr>
        <w:t>Depoziti u kreditnim i ostalim financijskim institucijama</w:t>
      </w:r>
    </w:p>
    <w:p w14:paraId="4CC3E1CF" w14:textId="77777777" w:rsidR="00293F62" w:rsidRPr="009548E1" w:rsidRDefault="00293F62" w:rsidP="00293F62">
      <w:pPr>
        <w:keepNext/>
        <w:jc w:val="both"/>
      </w:pPr>
      <w:r w:rsidRPr="009548E1">
        <w:t>Stanje potraživanja za depozite u kreditnim i ostalim financijskim institucijama na dan 31. prosinca 2023. godine bilježi stopostotno smanjenje u odnosu na stanje na dan 1. siječnja 2023. godine. Naime, u 2023. godini Ministarstvo financija nije oročavalo depozite u kreditnim i ostalim financijskim institucijama, dok se stanje na dan 1. siječnja 2023. godine u iznosu od 1,4 milijarde eura odnosi na kratkoročno oročeni depozit krajem prosinca 2022. kod Hrvatske narodne banke.</w:t>
      </w:r>
    </w:p>
    <w:p w14:paraId="11BAAFBF" w14:textId="77777777" w:rsidR="00293F62" w:rsidRPr="009548E1" w:rsidRDefault="00293F62" w:rsidP="00293F62">
      <w:pPr>
        <w:jc w:val="center"/>
      </w:pPr>
    </w:p>
    <w:p w14:paraId="41F4FB4B" w14:textId="77777777" w:rsidR="00293F62" w:rsidRPr="009548E1" w:rsidRDefault="00293F62" w:rsidP="00293F62">
      <w:pPr>
        <w:jc w:val="center"/>
        <w:rPr>
          <w:sz w:val="28"/>
        </w:rPr>
      </w:pPr>
      <w:r>
        <w:rPr>
          <w:sz w:val="28"/>
        </w:rPr>
        <w:t>Bilješka 5</w:t>
      </w:r>
      <w:r w:rsidRPr="009548E1">
        <w:rPr>
          <w:sz w:val="28"/>
        </w:rPr>
        <w:t>.</w:t>
      </w:r>
    </w:p>
    <w:p w14:paraId="6E593BF8" w14:textId="77777777" w:rsidR="00293F62" w:rsidRPr="009548E1" w:rsidRDefault="00293F62" w:rsidP="00293F62">
      <w:pPr>
        <w:keepNext/>
        <w:spacing w:after="240"/>
        <w:jc w:val="center"/>
        <w:rPr>
          <w:sz w:val="28"/>
        </w:rPr>
      </w:pPr>
      <w:r w:rsidRPr="009548E1">
        <w:rPr>
          <w:bCs/>
          <w:sz w:val="28"/>
        </w:rPr>
        <w:t xml:space="preserve">Šifra 129 </w:t>
      </w:r>
      <w:r w:rsidRPr="009548E1">
        <w:rPr>
          <w:sz w:val="28"/>
        </w:rPr>
        <w:t>Ostala potraživanja</w:t>
      </w:r>
    </w:p>
    <w:p w14:paraId="705E7D1F" w14:textId="77777777" w:rsidR="00293F62" w:rsidRPr="009548E1" w:rsidRDefault="00293F62" w:rsidP="00293F62">
      <w:pPr>
        <w:jc w:val="both"/>
      </w:pPr>
      <w:r w:rsidRPr="009548E1">
        <w:t>Ostala potraživanja na dan 31. prosinca 2023. godine evidentirana su u iznosu od 70.896.952,49 eura. U okviru ovog potraživanja najznačajniji iznos odnosi se na potraživanje za naknade plaće za bolovanja na teret HZZO–a u iznosu od 58.378.447,28 eura. Od ukupnog iznosa potraživanje za naknade plaće za bolovanja na teret HZZO–a 49.963.265,12 eura odnosi se na potraživanja za naknade plaće za bolovanje iznad 42 dana, a 8.415.182,16 eura za bolovanje za ozljede na radu. Radi se o potraživanjima za naknadu plaće za bolovanja zaposlenih kojima se plaće isplaćuju iz državnog proračuna.</w:t>
      </w:r>
    </w:p>
    <w:p w14:paraId="73F2FAFB" w14:textId="77777777" w:rsidR="00293F62" w:rsidRPr="009548E1" w:rsidRDefault="00293F62" w:rsidP="00293F62">
      <w:pPr>
        <w:jc w:val="both"/>
      </w:pPr>
    </w:p>
    <w:p w14:paraId="4B935E9A" w14:textId="77777777" w:rsidR="00293F62" w:rsidRPr="009548E1" w:rsidRDefault="00293F62" w:rsidP="00293F62">
      <w:pPr>
        <w:keepNext/>
        <w:jc w:val="center"/>
        <w:rPr>
          <w:sz w:val="28"/>
        </w:rPr>
      </w:pPr>
      <w:r>
        <w:rPr>
          <w:sz w:val="28"/>
        </w:rPr>
        <w:t>Bilješka 6</w:t>
      </w:r>
      <w:r w:rsidRPr="009548E1">
        <w:rPr>
          <w:sz w:val="28"/>
        </w:rPr>
        <w:t>.</w:t>
      </w:r>
    </w:p>
    <w:p w14:paraId="6FA117AE" w14:textId="77777777" w:rsidR="00293F62" w:rsidRPr="009548E1" w:rsidRDefault="00293F62" w:rsidP="00293F62">
      <w:pPr>
        <w:keepNext/>
        <w:spacing w:after="240"/>
        <w:jc w:val="center"/>
        <w:rPr>
          <w:bCs/>
          <w:sz w:val="28"/>
        </w:rPr>
      </w:pPr>
      <w:r w:rsidRPr="009548E1">
        <w:rPr>
          <w:bCs/>
          <w:sz w:val="28"/>
        </w:rPr>
        <w:t>Šifra 1332 Zajmovi kreditnim institucijama u javnom sektoru</w:t>
      </w:r>
    </w:p>
    <w:p w14:paraId="121650F8" w14:textId="77777777" w:rsidR="00293F62" w:rsidRPr="009548E1" w:rsidRDefault="00293F62" w:rsidP="00293F62">
      <w:pPr>
        <w:keepNext/>
        <w:spacing w:after="240"/>
        <w:jc w:val="both"/>
      </w:pPr>
      <w:r w:rsidRPr="009548E1">
        <w:rPr>
          <w:bCs/>
        </w:rPr>
        <w:t>Potraživanja za dane zajmove</w:t>
      </w:r>
      <w:r w:rsidRPr="009548E1">
        <w:t xml:space="preserve"> kreditnim institucijama u javnom sektoru na dan 31. prosinca 2023. godine iznose 397.722.808,42 eura, dok su na dan 1. siječnja 2023. iznosila 331.807.021,04 eura, što predstavlja povećanje od 19,9% u promatranom razdoblju.</w:t>
      </w:r>
    </w:p>
    <w:p w14:paraId="7D2CFD27" w14:textId="77777777" w:rsidR="00293F62" w:rsidRPr="009548E1" w:rsidRDefault="00293F62" w:rsidP="00293F62">
      <w:pPr>
        <w:spacing w:before="120" w:after="120"/>
        <w:jc w:val="both"/>
      </w:pPr>
      <w:r w:rsidRPr="009548E1">
        <w:t xml:space="preserve">Naime, Republika Hrvatska - Ministarstvo financija i HBOR zaključili su dana 26. lipnja 2020. godine Ugovor o zajmu broj: 1/2020 na iznos od </w:t>
      </w:r>
      <w:r>
        <w:t>398.168.425,24 eura</w:t>
      </w:r>
      <w:r w:rsidRPr="009548E1">
        <w:t xml:space="preserve"> s rokovima isplate do 1. srpnja 2020. godine u iznosu od </w:t>
      </w:r>
      <w:r>
        <w:t>199.084.212,62 eura</w:t>
      </w:r>
      <w:r w:rsidRPr="009548E1">
        <w:t xml:space="preserve"> i do 15. prosinca 2020. godine u iznosu od </w:t>
      </w:r>
      <w:r w:rsidRPr="00FD710F">
        <w:t xml:space="preserve">199.084.212,62 eura </w:t>
      </w:r>
      <w:r w:rsidRPr="009548E1">
        <w:t xml:space="preserve">s rokom otplate 15. prosinca 2023. godine Ovaj Ugovor je realiziran samo djelomično, naime 1. srpnja 2020. godine realizirana je prva isplata zajma u iznosu od </w:t>
      </w:r>
      <w:r w:rsidRPr="00FD710F">
        <w:t>199.084.212,62 eura</w:t>
      </w:r>
      <w:r w:rsidRPr="009548E1">
        <w:rPr>
          <w:bCs/>
        </w:rPr>
        <w:t>.</w:t>
      </w:r>
      <w:r w:rsidRPr="009548E1">
        <w:t xml:space="preserve"> S obzirom da HBOR tijekom 2020. godine nije imao potrebu za dodatnim sredstvima za osiguranje likvidnosti, dodatkom I. Ugovoru o zajmu broj 1/2020 od 4. veljače 2021. godine ugovoreni iznos zajma umanjuje se na </w:t>
      </w:r>
      <w:r w:rsidRPr="00FD710F">
        <w:t>199.084.212,62 eura</w:t>
      </w:r>
      <w:r w:rsidRPr="009548E1">
        <w:t>. Na dan 31. prosinca 2023. predmetni HBOR je vratio predmetni zajam.</w:t>
      </w:r>
    </w:p>
    <w:p w14:paraId="41F8B0D0" w14:textId="77777777" w:rsidR="00293F62" w:rsidRPr="009548E1" w:rsidRDefault="00293F62" w:rsidP="00293F62">
      <w:pPr>
        <w:spacing w:before="120" w:after="120"/>
        <w:jc w:val="both"/>
      </w:pPr>
      <w:r w:rsidRPr="009548E1">
        <w:t xml:space="preserve">Nadalje, Republika Hrvatska - Ministarstvo financija i HBOR zaključili su dana 14. listopada 2022. godine Ugovor o </w:t>
      </w:r>
      <w:r>
        <w:t>zajmu broj: 1/2022 na iznos od 132.722.808,51 eura</w:t>
      </w:r>
      <w:r w:rsidRPr="009548E1">
        <w:t xml:space="preserve"> s datumom isplate 30. studenog 2022. godine. Sredstva zajma HBOR koristi za osiguranje likvidnosti i provođenje kreditne aktivnosti. Na isplaćeni iznos zajma obračunava se kamata po fiksnoj stopi od 0,45% godišnje, a  HBOR otplaćuje isplaćeni iznos zajma jednokratno 2024. godine.</w:t>
      </w:r>
    </w:p>
    <w:p w14:paraId="7CA3E7E9" w14:textId="77777777" w:rsidR="00293F62" w:rsidRPr="009548E1" w:rsidRDefault="00293F62" w:rsidP="00293F62">
      <w:pPr>
        <w:spacing w:before="120" w:after="120"/>
        <w:jc w:val="both"/>
      </w:pPr>
      <w:r w:rsidRPr="009548E1">
        <w:t>Dodatno, Republika Hrvatska - Ministarstvo financija i HBOR zaključili su dana 15. prosinca 2023. godine Ugovor o zajmu broj: 1/2023 na iznos od 265.000.000,00 eura s datumom isplate 15. prosinca 2023. godine. Sredstva zajma HBOR koristi za osiguranje likvidnosti i provođenje kreditne aktivnosti. Na isplaćeni iznos zajma obračunava se kamata po fiksnoj stopi od 3,75% godišnje, a  HBOR otplaćuje isplaćeni iznos u jednokratnim tromjesečnim ratama, od kojih prva tromjesečna rata dospijeva 15. travnja 2025., a zadnja tromjesečna rata dospijeva 15. siječnja 2034.</w:t>
      </w:r>
    </w:p>
    <w:p w14:paraId="3704D95F" w14:textId="77777777" w:rsidR="00293F62" w:rsidRPr="009548E1" w:rsidRDefault="00293F62" w:rsidP="00293F62"/>
    <w:p w14:paraId="5013D193" w14:textId="77777777" w:rsidR="00293F62" w:rsidRPr="009548E1" w:rsidRDefault="00293F62" w:rsidP="00293F62">
      <w:pPr>
        <w:jc w:val="center"/>
        <w:rPr>
          <w:sz w:val="28"/>
        </w:rPr>
      </w:pPr>
      <w:r>
        <w:rPr>
          <w:sz w:val="28"/>
        </w:rPr>
        <w:t>Bilješka 7</w:t>
      </w:r>
      <w:r w:rsidRPr="009548E1">
        <w:rPr>
          <w:sz w:val="28"/>
        </w:rPr>
        <w:t xml:space="preserve">. </w:t>
      </w:r>
    </w:p>
    <w:p w14:paraId="235BD9DB" w14:textId="77777777" w:rsidR="00293F62" w:rsidRPr="009548E1" w:rsidRDefault="00293F62" w:rsidP="00293F62">
      <w:pPr>
        <w:spacing w:after="240"/>
        <w:jc w:val="center"/>
        <w:rPr>
          <w:sz w:val="28"/>
        </w:rPr>
      </w:pPr>
      <w:r w:rsidRPr="009548E1">
        <w:rPr>
          <w:sz w:val="28"/>
        </w:rPr>
        <w:t>Šifra 1341 Zajmovi trgovačkim društvima u javnom sektoru</w:t>
      </w:r>
    </w:p>
    <w:p w14:paraId="15C17E27" w14:textId="77777777" w:rsidR="00293F62" w:rsidRPr="009548E1" w:rsidRDefault="00293F62" w:rsidP="00293F62">
      <w:pPr>
        <w:keepNext/>
        <w:jc w:val="both"/>
      </w:pPr>
      <w:r w:rsidRPr="009548E1">
        <w:t>Potraživanja za zajmove dane trgovačkim društvima u javnom sektoru iznosila su na dan 31. prosinca 2023. godine 40.100.988,87 eura, odnosno manja su za 0,5% u odnosu na stanje na dan 1. siječnja 2023. godine. Najveći dio potraživanja odnosi se na potraživanje za dugoročni zajam Croat</w:t>
      </w:r>
      <w:r>
        <w:t xml:space="preserve">ia Airlines d.d. (33.180.702,10 </w:t>
      </w:r>
      <w:r w:rsidRPr="009548E1">
        <w:t xml:space="preserve">eura). Ostala značajnija potraživanja jesu potraživanja za dugoročne zajmove dane </w:t>
      </w:r>
      <w:proofErr w:type="spellStart"/>
      <w:r w:rsidRPr="009548E1">
        <w:t>Ekoplusu</w:t>
      </w:r>
      <w:proofErr w:type="spellEnd"/>
      <w:r w:rsidRPr="009548E1">
        <w:t xml:space="preserve"> d.o.o. (2.711.105,46 eura) i Nacionalnoj veletržnici (3.208.758,50 eura).</w:t>
      </w:r>
    </w:p>
    <w:p w14:paraId="3B115E9B" w14:textId="77777777" w:rsidR="00293F62" w:rsidRPr="009548E1" w:rsidRDefault="00293F62" w:rsidP="00293F62">
      <w:pPr>
        <w:keepNext/>
        <w:jc w:val="both"/>
        <w:rPr>
          <w:sz w:val="22"/>
          <w:szCs w:val="22"/>
        </w:rPr>
      </w:pPr>
    </w:p>
    <w:p w14:paraId="2467423E" w14:textId="77777777" w:rsidR="00293F62" w:rsidRPr="009548E1" w:rsidRDefault="00293F62" w:rsidP="00293F62">
      <w:pPr>
        <w:jc w:val="center"/>
        <w:rPr>
          <w:sz w:val="28"/>
        </w:rPr>
      </w:pPr>
      <w:r>
        <w:rPr>
          <w:sz w:val="28"/>
        </w:rPr>
        <w:t>Bilješka 8</w:t>
      </w:r>
      <w:r w:rsidRPr="009548E1">
        <w:rPr>
          <w:sz w:val="28"/>
        </w:rPr>
        <w:t>.</w:t>
      </w:r>
    </w:p>
    <w:p w14:paraId="28650783" w14:textId="77777777" w:rsidR="00293F62" w:rsidRPr="009548E1" w:rsidRDefault="00293F62" w:rsidP="00293F62">
      <w:pPr>
        <w:jc w:val="center"/>
        <w:rPr>
          <w:sz w:val="28"/>
        </w:rPr>
      </w:pPr>
      <w:r w:rsidRPr="009548E1">
        <w:rPr>
          <w:sz w:val="28"/>
        </w:rPr>
        <w:t xml:space="preserve">Šifra 1363 Zajmovi tuzemnim trgovačkim društvima izvan javnog sektora i šifra 1364 Zajmovi tuzemnim obrtnicima </w:t>
      </w:r>
    </w:p>
    <w:p w14:paraId="46DDEEE7" w14:textId="77777777" w:rsidR="00293F62" w:rsidRPr="009548E1" w:rsidRDefault="00293F62" w:rsidP="00293F62">
      <w:pPr>
        <w:spacing w:before="120" w:after="120"/>
        <w:jc w:val="both"/>
      </w:pPr>
      <w:r w:rsidRPr="009548E1">
        <w:t xml:space="preserve">Potraživanja od tuzemnih trgovačkih društava izvan javnog sektora temeljem danih zajmova na dan 31. prosinca 2023. godine iznose </w:t>
      </w:r>
      <w:r w:rsidRPr="009548E1">
        <w:rPr>
          <w:iCs/>
        </w:rPr>
        <w:t>111.692.825,45 eura i manja su za 2,2% u odnosnu na stanje na dan 1. siječnja 2023. godine</w:t>
      </w:r>
      <w:r w:rsidRPr="009548E1">
        <w:t xml:space="preserve">. Od navedenog iznosa najznačajniji dio odnosi se na potraživanja po danim zajmovima bivšeg Fonda za razvoj i zapošljavanje (FRZ) tuzemnim trgovačkim društvima u iznosu od 56.918.342,65 eura, na potraživanja za zajam </w:t>
      </w:r>
      <w:proofErr w:type="spellStart"/>
      <w:r w:rsidRPr="009548E1">
        <w:t>Alpha</w:t>
      </w:r>
      <w:proofErr w:type="spellEnd"/>
      <w:r w:rsidRPr="009548E1">
        <w:t xml:space="preserve"> Adriatic </w:t>
      </w:r>
      <w:proofErr w:type="spellStart"/>
      <w:r w:rsidRPr="009548E1">
        <w:t>predstečaj</w:t>
      </w:r>
      <w:proofErr w:type="spellEnd"/>
      <w:r w:rsidRPr="009548E1">
        <w:t xml:space="preserve"> koja na dan 31. prosinca 2023. godine iznose 12.988.706,44 eura te na potraživanja za zajmove dane HBOR-u za financijske instrumente plasirane putem Nacionalnog plana oporavka i otpornosti. </w:t>
      </w:r>
    </w:p>
    <w:p w14:paraId="4B22E43E" w14:textId="77777777" w:rsidR="00293F62" w:rsidRPr="009548E1" w:rsidRDefault="00293F62" w:rsidP="00293F62">
      <w:pPr>
        <w:spacing w:before="120" w:after="120"/>
        <w:jc w:val="both"/>
      </w:pPr>
      <w:r w:rsidRPr="009548E1">
        <w:t>Potraživanja za dane zajmove tuzemnim obrtnicima na dan 31. prosinca 2023. godine iznose 7.127.929,75 eura, a odnose se na potraživanja po danim zajmovima bivšeg Fonda za razvoj i zapošljavanje (FRZ).</w:t>
      </w:r>
    </w:p>
    <w:p w14:paraId="149AED93" w14:textId="77777777" w:rsidR="00293F62" w:rsidRPr="009548E1" w:rsidRDefault="00293F62" w:rsidP="00293F62"/>
    <w:p w14:paraId="1698EC15" w14:textId="77777777" w:rsidR="00293F62" w:rsidRPr="009548E1" w:rsidRDefault="00293F62" w:rsidP="00293F62">
      <w:pPr>
        <w:keepNext/>
        <w:jc w:val="center"/>
        <w:rPr>
          <w:sz w:val="28"/>
        </w:rPr>
      </w:pPr>
      <w:r>
        <w:rPr>
          <w:sz w:val="28"/>
        </w:rPr>
        <w:t>Bilješka 9</w:t>
      </w:r>
      <w:r w:rsidRPr="009548E1">
        <w:rPr>
          <w:sz w:val="28"/>
        </w:rPr>
        <w:t>.</w:t>
      </w:r>
    </w:p>
    <w:p w14:paraId="03A5A6A4" w14:textId="77777777" w:rsidR="00293F62" w:rsidRPr="009548E1" w:rsidRDefault="00293F62" w:rsidP="00293F62">
      <w:pPr>
        <w:keepNext/>
        <w:spacing w:after="240"/>
        <w:jc w:val="center"/>
        <w:rPr>
          <w:sz w:val="28"/>
          <w:szCs w:val="28"/>
        </w:rPr>
      </w:pPr>
      <w:r w:rsidRPr="009548E1">
        <w:rPr>
          <w:sz w:val="28"/>
        </w:rPr>
        <w:t xml:space="preserve">Šifra 1372 </w:t>
      </w:r>
      <w:r w:rsidRPr="009548E1">
        <w:rPr>
          <w:sz w:val="28"/>
          <w:szCs w:val="28"/>
        </w:rPr>
        <w:t xml:space="preserve">Zajmovi županijskim proračunima, </w:t>
      </w:r>
      <w:r w:rsidRPr="009548E1">
        <w:rPr>
          <w:sz w:val="28"/>
        </w:rPr>
        <w:t xml:space="preserve">šifra 1373 </w:t>
      </w:r>
      <w:r w:rsidRPr="009548E1">
        <w:rPr>
          <w:sz w:val="28"/>
          <w:szCs w:val="28"/>
        </w:rPr>
        <w:t xml:space="preserve">Zajmovi gradskim proračunima i </w:t>
      </w:r>
      <w:r w:rsidRPr="009548E1">
        <w:rPr>
          <w:sz w:val="28"/>
        </w:rPr>
        <w:t xml:space="preserve">šifra 1374 </w:t>
      </w:r>
      <w:r w:rsidRPr="009548E1">
        <w:rPr>
          <w:sz w:val="28"/>
          <w:szCs w:val="28"/>
        </w:rPr>
        <w:t>Zajmovi općinskim proračunima</w:t>
      </w:r>
    </w:p>
    <w:p w14:paraId="04F6A039" w14:textId="77777777" w:rsidR="00293F62" w:rsidRPr="009548E1" w:rsidRDefault="00293F62" w:rsidP="00293F62">
      <w:pPr>
        <w:jc w:val="both"/>
        <w:rPr>
          <w:szCs w:val="20"/>
        </w:rPr>
      </w:pPr>
      <w:r w:rsidRPr="009548E1">
        <w:rPr>
          <w:szCs w:val="20"/>
        </w:rPr>
        <w:t>Potraživanja za zajmove dane županijskim, gradskim i općinskim proračunima (šifre 1372, 1373 i 1374) na dan 31. prosinca 2023. godine iznose 74.178.649,70 eura, odnosno manja su za</w:t>
      </w:r>
      <w:r w:rsidRPr="009548E1">
        <w:t xml:space="preserve"> </w:t>
      </w:r>
      <w:r w:rsidRPr="009548E1">
        <w:rPr>
          <w:szCs w:val="20"/>
        </w:rPr>
        <w:t>49.431.545,21 eura u odnosu na dan 1. siječnja 2023. godine kada su iznosila</w:t>
      </w:r>
      <w:r w:rsidRPr="009548E1">
        <w:t xml:space="preserve"> </w:t>
      </w:r>
      <w:r w:rsidRPr="009548E1">
        <w:rPr>
          <w:szCs w:val="20"/>
        </w:rPr>
        <w:t>123.610.194,91 eura.</w:t>
      </w:r>
    </w:p>
    <w:p w14:paraId="046D587E" w14:textId="77777777" w:rsidR="00293F62" w:rsidRPr="009548E1" w:rsidRDefault="00293F62" w:rsidP="00293F62">
      <w:pPr>
        <w:jc w:val="both"/>
        <w:rPr>
          <w:szCs w:val="20"/>
        </w:rPr>
      </w:pPr>
    </w:p>
    <w:p w14:paraId="71E88C92" w14:textId="77777777" w:rsidR="00293F62" w:rsidRPr="009548E1" w:rsidRDefault="00293F62" w:rsidP="00293F62">
      <w:pPr>
        <w:jc w:val="both"/>
        <w:rPr>
          <w:szCs w:val="20"/>
        </w:rPr>
      </w:pPr>
      <w:r w:rsidRPr="009548E1">
        <w:rPr>
          <w:szCs w:val="20"/>
        </w:rPr>
        <w:t>Navedena potraživanja čine:</w:t>
      </w:r>
    </w:p>
    <w:p w14:paraId="0165C317" w14:textId="77777777" w:rsidR="00293F62" w:rsidRPr="009548E1" w:rsidRDefault="00293F62" w:rsidP="00293F62">
      <w:pPr>
        <w:pStyle w:val="Odlomakpopisa"/>
        <w:numPr>
          <w:ilvl w:val="0"/>
          <w:numId w:val="42"/>
        </w:numPr>
        <w:rPr>
          <w:szCs w:val="20"/>
        </w:rPr>
      </w:pPr>
      <w:r w:rsidRPr="009548E1">
        <w:rPr>
          <w:szCs w:val="20"/>
        </w:rPr>
        <w:t>potraživanja koja se odnose na zajmove dane županijskim, gradskim i općinskim proračunima u iznosu od 62.040.051,36 eura</w:t>
      </w:r>
      <w:r>
        <w:rPr>
          <w:szCs w:val="20"/>
        </w:rPr>
        <w:t>,</w:t>
      </w:r>
    </w:p>
    <w:p w14:paraId="37F9FB2F" w14:textId="77777777" w:rsidR="00293F62" w:rsidRPr="009548E1" w:rsidRDefault="00293F62" w:rsidP="00293F62">
      <w:pPr>
        <w:pStyle w:val="Odlomakpopisa"/>
        <w:numPr>
          <w:ilvl w:val="0"/>
          <w:numId w:val="42"/>
        </w:numPr>
        <w:spacing w:before="120" w:after="120"/>
        <w:ind w:left="714" w:hanging="357"/>
        <w:contextualSpacing w:val="0"/>
        <w:jc w:val="both"/>
      </w:pPr>
      <w:r w:rsidRPr="009548E1">
        <w:t>potraživanja za dane zajmove drugim razinama vlasti za dane međunarodne zajmove - EIB 25749 koja se odnose na zajmove dane županijskim proračunima u iznosu 7.893.673,02 eura (Istarska i Primorsko-goranska)</w:t>
      </w:r>
      <w:r>
        <w:t>,</w:t>
      </w:r>
      <w:r w:rsidRPr="009548E1">
        <w:t xml:space="preserve"> </w:t>
      </w:r>
    </w:p>
    <w:p w14:paraId="0C260BE7" w14:textId="77777777" w:rsidR="00293F62" w:rsidRPr="00FD710F" w:rsidRDefault="00293F62" w:rsidP="00293F62">
      <w:pPr>
        <w:pStyle w:val="Odlomakpopisa"/>
        <w:numPr>
          <w:ilvl w:val="0"/>
          <w:numId w:val="42"/>
        </w:numPr>
        <w:spacing w:before="120" w:after="120"/>
        <w:ind w:left="714" w:hanging="357"/>
        <w:contextualSpacing w:val="0"/>
        <w:jc w:val="both"/>
      </w:pPr>
      <w:r w:rsidRPr="009548E1">
        <w:t>potraživanja za zajmove dane gradskim proračunima u iznosu 4.244.925,29 eura (Rijeka i Šibenik).</w:t>
      </w:r>
    </w:p>
    <w:p w14:paraId="2AA342FC" w14:textId="77777777" w:rsidR="00293F62" w:rsidRDefault="00293F62" w:rsidP="00293F62">
      <w:pPr>
        <w:pStyle w:val="Odlomakpopisa"/>
        <w:spacing w:before="120" w:after="120"/>
        <w:ind w:left="714" w:hanging="714"/>
        <w:contextualSpacing w:val="0"/>
        <w:jc w:val="both"/>
        <w:rPr>
          <w:szCs w:val="20"/>
        </w:rPr>
      </w:pPr>
      <w:r w:rsidRPr="009548E1">
        <w:rPr>
          <w:szCs w:val="20"/>
        </w:rPr>
        <w:t>Pregled iznosa beskamatnih zajmova dan je u Tablici 2.</w:t>
      </w:r>
    </w:p>
    <w:p w14:paraId="544D7B83" w14:textId="77777777" w:rsidR="00293F62" w:rsidRPr="009548E1" w:rsidRDefault="00293F62" w:rsidP="00293F62">
      <w:pPr>
        <w:pStyle w:val="Odlomakpopisa"/>
        <w:spacing w:before="120" w:after="120"/>
        <w:ind w:left="714" w:hanging="714"/>
        <w:contextualSpacing w:val="0"/>
        <w:jc w:val="both"/>
        <w:rPr>
          <w:szCs w:val="20"/>
        </w:rPr>
      </w:pPr>
    </w:p>
    <w:p w14:paraId="3B8832BF" w14:textId="77777777" w:rsidR="00293F62" w:rsidRPr="009548E1" w:rsidRDefault="00293F62" w:rsidP="00293F62">
      <w:pPr>
        <w:keepNext/>
        <w:tabs>
          <w:tab w:val="decimal" w:pos="8820"/>
        </w:tabs>
        <w:jc w:val="both"/>
        <w:rPr>
          <w:b/>
          <w:sz w:val="20"/>
        </w:rPr>
      </w:pPr>
      <w:r w:rsidRPr="009548E1">
        <w:rPr>
          <w:b/>
          <w:sz w:val="20"/>
        </w:rPr>
        <w:t>Tablica 2.</w:t>
      </w:r>
      <w:r>
        <w:rPr>
          <w:b/>
          <w:sz w:val="20"/>
        </w:rPr>
        <w:t xml:space="preserve"> Stanje potraživanja za beskamatne zajmove dane županijskim, gradskim i općinskim proračunima</w:t>
      </w:r>
    </w:p>
    <w:tbl>
      <w:tblPr>
        <w:tblW w:w="4460" w:type="pct"/>
        <w:jc w:val="center"/>
        <w:tblLook w:val="04A0" w:firstRow="1" w:lastRow="0" w:firstColumn="1" w:lastColumn="0" w:noHBand="0" w:noVBand="1"/>
      </w:tblPr>
      <w:tblGrid>
        <w:gridCol w:w="817"/>
        <w:gridCol w:w="5210"/>
        <w:gridCol w:w="2056"/>
      </w:tblGrid>
      <w:tr w:rsidR="00293F62" w:rsidRPr="009548E1" w14:paraId="7E8C68AC" w14:textId="77777777" w:rsidTr="005C7D38">
        <w:trPr>
          <w:trHeight w:val="600"/>
          <w:jc w:val="center"/>
        </w:trPr>
        <w:tc>
          <w:tcPr>
            <w:tcW w:w="505" w:type="pct"/>
            <w:tcBorders>
              <w:top w:val="single" w:sz="4" w:space="0" w:color="auto"/>
              <w:left w:val="single" w:sz="4" w:space="0" w:color="auto"/>
              <w:bottom w:val="single" w:sz="4" w:space="0" w:color="auto"/>
              <w:right w:val="single" w:sz="4" w:space="0" w:color="000000"/>
            </w:tcBorders>
            <w:vAlign w:val="center"/>
          </w:tcPr>
          <w:p w14:paraId="730FA146" w14:textId="77777777" w:rsidR="00293F62" w:rsidRPr="009548E1" w:rsidRDefault="00293F62" w:rsidP="005C7D38">
            <w:pPr>
              <w:keepNext/>
              <w:jc w:val="center"/>
              <w:rPr>
                <w:b/>
                <w:bCs/>
                <w:sz w:val="20"/>
                <w:szCs w:val="20"/>
              </w:rPr>
            </w:pPr>
            <w:r w:rsidRPr="009548E1">
              <w:rPr>
                <w:b/>
                <w:bCs/>
                <w:sz w:val="20"/>
                <w:szCs w:val="20"/>
              </w:rPr>
              <w:t>Red. broj</w:t>
            </w:r>
          </w:p>
        </w:tc>
        <w:tc>
          <w:tcPr>
            <w:tcW w:w="322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AAFD1B" w14:textId="77777777" w:rsidR="00293F62" w:rsidRPr="009548E1" w:rsidRDefault="00293F62" w:rsidP="005C7D38">
            <w:pPr>
              <w:keepNext/>
              <w:jc w:val="center"/>
              <w:rPr>
                <w:b/>
                <w:bCs/>
                <w:sz w:val="20"/>
                <w:szCs w:val="20"/>
              </w:rPr>
            </w:pPr>
            <w:r w:rsidRPr="009548E1">
              <w:rPr>
                <w:b/>
                <w:bCs/>
                <w:sz w:val="20"/>
                <w:szCs w:val="20"/>
              </w:rPr>
              <w:t>Opis</w:t>
            </w:r>
          </w:p>
        </w:tc>
        <w:tc>
          <w:tcPr>
            <w:tcW w:w="1272" w:type="pct"/>
            <w:tcBorders>
              <w:top w:val="single" w:sz="4" w:space="0" w:color="auto"/>
              <w:left w:val="nil"/>
              <w:bottom w:val="single" w:sz="4" w:space="0" w:color="auto"/>
              <w:right w:val="single" w:sz="4" w:space="0" w:color="auto"/>
            </w:tcBorders>
            <w:shd w:val="clear" w:color="auto" w:fill="auto"/>
            <w:vAlign w:val="center"/>
            <w:hideMark/>
          </w:tcPr>
          <w:p w14:paraId="6FBCC641" w14:textId="77777777" w:rsidR="00293F62" w:rsidRPr="009548E1" w:rsidRDefault="00293F62" w:rsidP="005C7D38">
            <w:pPr>
              <w:keepNext/>
              <w:jc w:val="center"/>
              <w:rPr>
                <w:b/>
                <w:bCs/>
                <w:sz w:val="20"/>
                <w:szCs w:val="20"/>
              </w:rPr>
            </w:pPr>
            <w:r w:rsidRPr="009548E1">
              <w:rPr>
                <w:b/>
                <w:bCs/>
                <w:sz w:val="20"/>
                <w:szCs w:val="20"/>
              </w:rPr>
              <w:t xml:space="preserve">Stanje ukupnih </w:t>
            </w:r>
          </w:p>
          <w:p w14:paraId="380E9676" w14:textId="77777777" w:rsidR="00293F62" w:rsidRPr="009548E1" w:rsidRDefault="00293F62" w:rsidP="005C7D38">
            <w:pPr>
              <w:keepNext/>
              <w:jc w:val="center"/>
              <w:rPr>
                <w:b/>
                <w:bCs/>
                <w:sz w:val="20"/>
                <w:szCs w:val="20"/>
              </w:rPr>
            </w:pPr>
            <w:r w:rsidRPr="009548E1">
              <w:rPr>
                <w:b/>
                <w:bCs/>
                <w:sz w:val="20"/>
                <w:szCs w:val="20"/>
              </w:rPr>
              <w:t>potraživanja na</w:t>
            </w:r>
          </w:p>
          <w:p w14:paraId="22AF079C" w14:textId="77777777" w:rsidR="00293F62" w:rsidRPr="009548E1" w:rsidRDefault="00293F62" w:rsidP="005C7D38">
            <w:pPr>
              <w:keepNext/>
              <w:jc w:val="center"/>
              <w:rPr>
                <w:sz w:val="20"/>
                <w:szCs w:val="20"/>
              </w:rPr>
            </w:pPr>
            <w:r w:rsidRPr="009548E1">
              <w:rPr>
                <w:b/>
                <w:bCs/>
                <w:sz w:val="20"/>
                <w:szCs w:val="20"/>
              </w:rPr>
              <w:t>31.12.2023.</w:t>
            </w:r>
          </w:p>
          <w:p w14:paraId="2FC39DE0" w14:textId="77777777" w:rsidR="00293F62" w:rsidRPr="009548E1" w:rsidRDefault="00293F62" w:rsidP="005C7D38">
            <w:pPr>
              <w:keepNext/>
              <w:jc w:val="center"/>
              <w:rPr>
                <w:b/>
                <w:bCs/>
                <w:sz w:val="20"/>
                <w:szCs w:val="20"/>
              </w:rPr>
            </w:pPr>
            <w:r w:rsidRPr="009548E1">
              <w:rPr>
                <w:b/>
                <w:sz w:val="20"/>
                <w:szCs w:val="20"/>
              </w:rPr>
              <w:t>(EUR)</w:t>
            </w:r>
          </w:p>
        </w:tc>
      </w:tr>
      <w:tr w:rsidR="00293F62" w:rsidRPr="009548E1" w14:paraId="4162A1A5" w14:textId="77777777" w:rsidTr="005C7D38">
        <w:trPr>
          <w:trHeight w:val="315"/>
          <w:jc w:val="center"/>
        </w:trPr>
        <w:tc>
          <w:tcPr>
            <w:tcW w:w="505" w:type="pct"/>
            <w:tcBorders>
              <w:top w:val="nil"/>
              <w:left w:val="single" w:sz="4" w:space="0" w:color="auto"/>
              <w:bottom w:val="single" w:sz="4" w:space="0" w:color="auto"/>
              <w:right w:val="single" w:sz="4" w:space="0" w:color="auto"/>
            </w:tcBorders>
            <w:shd w:val="clear" w:color="000000" w:fill="FFFFFF"/>
            <w:vAlign w:val="center"/>
          </w:tcPr>
          <w:p w14:paraId="6B988791" w14:textId="77777777" w:rsidR="00293F62" w:rsidRPr="009548E1" w:rsidRDefault="00293F62" w:rsidP="005C7D38">
            <w:pPr>
              <w:pStyle w:val="Odlomakpopisa"/>
              <w:keepNext/>
              <w:numPr>
                <w:ilvl w:val="0"/>
                <w:numId w:val="24"/>
              </w:numPr>
              <w:rPr>
                <w:sz w:val="20"/>
                <w:szCs w:val="20"/>
              </w:rPr>
            </w:pPr>
          </w:p>
        </w:tc>
        <w:tc>
          <w:tcPr>
            <w:tcW w:w="3222" w:type="pct"/>
            <w:tcBorders>
              <w:top w:val="nil"/>
              <w:left w:val="single" w:sz="4" w:space="0" w:color="auto"/>
              <w:bottom w:val="single" w:sz="4" w:space="0" w:color="auto"/>
              <w:right w:val="single" w:sz="4" w:space="0" w:color="auto"/>
            </w:tcBorders>
            <w:shd w:val="clear" w:color="000000" w:fill="FFFFFF"/>
            <w:noWrap/>
            <w:vAlign w:val="center"/>
            <w:hideMark/>
          </w:tcPr>
          <w:p w14:paraId="5595B3E5" w14:textId="77777777" w:rsidR="00293F62" w:rsidRPr="009548E1" w:rsidRDefault="00293F62" w:rsidP="005C7D38">
            <w:pPr>
              <w:keepNext/>
              <w:rPr>
                <w:sz w:val="20"/>
                <w:szCs w:val="20"/>
              </w:rPr>
            </w:pPr>
            <w:r w:rsidRPr="009548E1">
              <w:rPr>
                <w:sz w:val="20"/>
                <w:szCs w:val="20"/>
              </w:rPr>
              <w:t>Beskamatni zajmovi županijskim proračunima kratkoročni</w:t>
            </w:r>
          </w:p>
        </w:tc>
        <w:tc>
          <w:tcPr>
            <w:tcW w:w="1272" w:type="pct"/>
            <w:tcBorders>
              <w:top w:val="nil"/>
              <w:left w:val="single" w:sz="4" w:space="0" w:color="auto"/>
              <w:bottom w:val="single" w:sz="4" w:space="0" w:color="auto"/>
              <w:right w:val="single" w:sz="4" w:space="0" w:color="auto"/>
            </w:tcBorders>
            <w:shd w:val="clear" w:color="000000" w:fill="FFFFFF"/>
            <w:noWrap/>
            <w:vAlign w:val="center"/>
            <w:hideMark/>
          </w:tcPr>
          <w:p w14:paraId="6B233985" w14:textId="77777777" w:rsidR="00293F62" w:rsidRPr="009548E1" w:rsidRDefault="00293F62" w:rsidP="005C7D38">
            <w:pPr>
              <w:keepNext/>
              <w:jc w:val="right"/>
              <w:rPr>
                <w:sz w:val="20"/>
                <w:szCs w:val="20"/>
              </w:rPr>
            </w:pPr>
            <w:r w:rsidRPr="009548E1">
              <w:rPr>
                <w:sz w:val="20"/>
                <w:szCs w:val="20"/>
              </w:rPr>
              <w:t>727.880,33</w:t>
            </w:r>
          </w:p>
        </w:tc>
      </w:tr>
      <w:tr w:rsidR="00293F62" w:rsidRPr="009548E1" w14:paraId="3DAFA934" w14:textId="77777777" w:rsidTr="005C7D38">
        <w:trPr>
          <w:trHeight w:val="255"/>
          <w:jc w:val="center"/>
        </w:trPr>
        <w:tc>
          <w:tcPr>
            <w:tcW w:w="505" w:type="pct"/>
            <w:tcBorders>
              <w:top w:val="nil"/>
              <w:left w:val="single" w:sz="4" w:space="0" w:color="auto"/>
              <w:bottom w:val="single" w:sz="4" w:space="0" w:color="auto"/>
              <w:right w:val="single" w:sz="4" w:space="0" w:color="auto"/>
            </w:tcBorders>
            <w:shd w:val="clear" w:color="000000" w:fill="FFFFFF"/>
            <w:vAlign w:val="center"/>
          </w:tcPr>
          <w:p w14:paraId="7FE01A5E" w14:textId="77777777" w:rsidR="00293F62" w:rsidRPr="009548E1" w:rsidRDefault="00293F62" w:rsidP="005C7D38">
            <w:pPr>
              <w:pStyle w:val="Odlomakpopisa"/>
              <w:keepNext/>
              <w:numPr>
                <w:ilvl w:val="0"/>
                <w:numId w:val="24"/>
              </w:numPr>
              <w:rPr>
                <w:sz w:val="20"/>
                <w:szCs w:val="20"/>
              </w:rPr>
            </w:pPr>
          </w:p>
        </w:tc>
        <w:tc>
          <w:tcPr>
            <w:tcW w:w="3222" w:type="pct"/>
            <w:tcBorders>
              <w:top w:val="nil"/>
              <w:left w:val="single" w:sz="4" w:space="0" w:color="auto"/>
              <w:bottom w:val="single" w:sz="4" w:space="0" w:color="auto"/>
              <w:right w:val="single" w:sz="4" w:space="0" w:color="auto"/>
            </w:tcBorders>
            <w:shd w:val="clear" w:color="000000" w:fill="FFFFFF"/>
            <w:noWrap/>
            <w:vAlign w:val="center"/>
            <w:hideMark/>
          </w:tcPr>
          <w:p w14:paraId="536089C6" w14:textId="77777777" w:rsidR="00293F62" w:rsidRPr="009548E1" w:rsidRDefault="00293F62" w:rsidP="005C7D38">
            <w:pPr>
              <w:keepNext/>
              <w:rPr>
                <w:sz w:val="20"/>
                <w:szCs w:val="20"/>
              </w:rPr>
            </w:pPr>
            <w:r w:rsidRPr="009548E1">
              <w:rPr>
                <w:sz w:val="20"/>
                <w:szCs w:val="20"/>
              </w:rPr>
              <w:t>Beskamatni zajmovi županijskim proračunima dugoročni</w:t>
            </w:r>
          </w:p>
        </w:tc>
        <w:tc>
          <w:tcPr>
            <w:tcW w:w="1272" w:type="pct"/>
            <w:tcBorders>
              <w:top w:val="nil"/>
              <w:left w:val="single" w:sz="4" w:space="0" w:color="auto"/>
              <w:bottom w:val="single" w:sz="4" w:space="0" w:color="auto"/>
              <w:right w:val="single" w:sz="4" w:space="0" w:color="auto"/>
            </w:tcBorders>
            <w:shd w:val="clear" w:color="000000" w:fill="FFFFFF"/>
            <w:noWrap/>
            <w:vAlign w:val="center"/>
            <w:hideMark/>
          </w:tcPr>
          <w:p w14:paraId="3992540F" w14:textId="77777777" w:rsidR="00293F62" w:rsidRPr="009548E1" w:rsidRDefault="00293F62" w:rsidP="005C7D38">
            <w:pPr>
              <w:keepNext/>
              <w:jc w:val="right"/>
              <w:rPr>
                <w:sz w:val="20"/>
                <w:szCs w:val="20"/>
              </w:rPr>
            </w:pPr>
            <w:r w:rsidRPr="009548E1">
              <w:rPr>
                <w:sz w:val="20"/>
                <w:szCs w:val="20"/>
              </w:rPr>
              <w:t>16.519.074,38</w:t>
            </w:r>
          </w:p>
        </w:tc>
      </w:tr>
      <w:tr w:rsidR="00293F62" w:rsidRPr="009548E1" w14:paraId="012241C9" w14:textId="77777777" w:rsidTr="005C7D38">
        <w:trPr>
          <w:trHeight w:val="255"/>
          <w:jc w:val="center"/>
        </w:trPr>
        <w:tc>
          <w:tcPr>
            <w:tcW w:w="505" w:type="pct"/>
            <w:tcBorders>
              <w:top w:val="nil"/>
              <w:left w:val="single" w:sz="4" w:space="0" w:color="auto"/>
              <w:bottom w:val="single" w:sz="4" w:space="0" w:color="auto"/>
              <w:right w:val="single" w:sz="4" w:space="0" w:color="auto"/>
            </w:tcBorders>
            <w:shd w:val="clear" w:color="000000" w:fill="FFFFFF"/>
            <w:vAlign w:val="center"/>
          </w:tcPr>
          <w:p w14:paraId="16FAFCFF" w14:textId="77777777" w:rsidR="00293F62" w:rsidRPr="009548E1" w:rsidRDefault="00293F62" w:rsidP="005C7D38">
            <w:pPr>
              <w:pStyle w:val="Odlomakpopisa"/>
              <w:keepNext/>
              <w:numPr>
                <w:ilvl w:val="0"/>
                <w:numId w:val="24"/>
              </w:numPr>
              <w:rPr>
                <w:sz w:val="20"/>
                <w:szCs w:val="20"/>
              </w:rPr>
            </w:pPr>
          </w:p>
        </w:tc>
        <w:tc>
          <w:tcPr>
            <w:tcW w:w="3222" w:type="pct"/>
            <w:tcBorders>
              <w:top w:val="nil"/>
              <w:left w:val="single" w:sz="4" w:space="0" w:color="auto"/>
              <w:bottom w:val="single" w:sz="4" w:space="0" w:color="auto"/>
              <w:right w:val="single" w:sz="4" w:space="0" w:color="auto"/>
            </w:tcBorders>
            <w:shd w:val="clear" w:color="000000" w:fill="FFFFFF"/>
            <w:noWrap/>
            <w:vAlign w:val="center"/>
            <w:hideMark/>
          </w:tcPr>
          <w:p w14:paraId="35C87297" w14:textId="77777777" w:rsidR="00293F62" w:rsidRPr="009548E1" w:rsidRDefault="00293F62" w:rsidP="005C7D38">
            <w:pPr>
              <w:keepNext/>
              <w:rPr>
                <w:sz w:val="20"/>
                <w:szCs w:val="20"/>
              </w:rPr>
            </w:pPr>
            <w:r w:rsidRPr="009548E1">
              <w:rPr>
                <w:sz w:val="20"/>
                <w:szCs w:val="20"/>
              </w:rPr>
              <w:t>Beskamatni zajmovi gradskim proračunima kratkoročni</w:t>
            </w:r>
          </w:p>
        </w:tc>
        <w:tc>
          <w:tcPr>
            <w:tcW w:w="1272" w:type="pct"/>
            <w:tcBorders>
              <w:top w:val="nil"/>
              <w:left w:val="single" w:sz="4" w:space="0" w:color="auto"/>
              <w:bottom w:val="single" w:sz="4" w:space="0" w:color="auto"/>
              <w:right w:val="single" w:sz="4" w:space="0" w:color="auto"/>
            </w:tcBorders>
            <w:shd w:val="clear" w:color="000000" w:fill="FFFFFF"/>
            <w:noWrap/>
            <w:vAlign w:val="center"/>
            <w:hideMark/>
          </w:tcPr>
          <w:p w14:paraId="65E0EE49" w14:textId="77777777" w:rsidR="00293F62" w:rsidRPr="009548E1" w:rsidRDefault="00293F62" w:rsidP="005C7D38">
            <w:pPr>
              <w:keepNext/>
              <w:jc w:val="right"/>
              <w:rPr>
                <w:sz w:val="20"/>
                <w:szCs w:val="20"/>
              </w:rPr>
            </w:pPr>
            <w:r w:rsidRPr="009548E1">
              <w:rPr>
                <w:sz w:val="20"/>
                <w:szCs w:val="20"/>
              </w:rPr>
              <w:t>1.020.467,49</w:t>
            </w:r>
          </w:p>
        </w:tc>
      </w:tr>
      <w:tr w:rsidR="00293F62" w:rsidRPr="009548E1" w14:paraId="2E5915F8" w14:textId="77777777" w:rsidTr="005C7D38">
        <w:trPr>
          <w:trHeight w:val="255"/>
          <w:jc w:val="center"/>
        </w:trPr>
        <w:tc>
          <w:tcPr>
            <w:tcW w:w="505" w:type="pct"/>
            <w:tcBorders>
              <w:top w:val="nil"/>
              <w:left w:val="single" w:sz="4" w:space="0" w:color="auto"/>
              <w:bottom w:val="single" w:sz="4" w:space="0" w:color="auto"/>
              <w:right w:val="single" w:sz="4" w:space="0" w:color="auto"/>
            </w:tcBorders>
            <w:shd w:val="clear" w:color="000000" w:fill="FFFFFF"/>
            <w:vAlign w:val="center"/>
          </w:tcPr>
          <w:p w14:paraId="1A4278A4" w14:textId="77777777" w:rsidR="00293F62" w:rsidRPr="009548E1" w:rsidRDefault="00293F62" w:rsidP="005C7D38">
            <w:pPr>
              <w:pStyle w:val="Odlomakpopisa"/>
              <w:keepNext/>
              <w:numPr>
                <w:ilvl w:val="0"/>
                <w:numId w:val="24"/>
              </w:numPr>
              <w:rPr>
                <w:sz w:val="20"/>
                <w:szCs w:val="20"/>
              </w:rPr>
            </w:pPr>
          </w:p>
        </w:tc>
        <w:tc>
          <w:tcPr>
            <w:tcW w:w="3222" w:type="pct"/>
            <w:tcBorders>
              <w:top w:val="nil"/>
              <w:left w:val="single" w:sz="4" w:space="0" w:color="auto"/>
              <w:bottom w:val="single" w:sz="4" w:space="0" w:color="auto"/>
              <w:right w:val="single" w:sz="4" w:space="0" w:color="auto"/>
            </w:tcBorders>
            <w:shd w:val="clear" w:color="000000" w:fill="FFFFFF"/>
            <w:noWrap/>
            <w:vAlign w:val="center"/>
            <w:hideMark/>
          </w:tcPr>
          <w:p w14:paraId="031ADD09" w14:textId="77777777" w:rsidR="00293F62" w:rsidRPr="009548E1" w:rsidRDefault="00293F62" w:rsidP="005C7D38">
            <w:pPr>
              <w:keepNext/>
              <w:rPr>
                <w:sz w:val="20"/>
                <w:szCs w:val="20"/>
              </w:rPr>
            </w:pPr>
            <w:r w:rsidRPr="009548E1">
              <w:rPr>
                <w:sz w:val="20"/>
                <w:szCs w:val="20"/>
              </w:rPr>
              <w:t>Beskamatni zajmovi gradskim proračunima dugoročni</w:t>
            </w:r>
          </w:p>
        </w:tc>
        <w:tc>
          <w:tcPr>
            <w:tcW w:w="1272" w:type="pct"/>
            <w:tcBorders>
              <w:top w:val="nil"/>
              <w:left w:val="single" w:sz="4" w:space="0" w:color="auto"/>
              <w:bottom w:val="single" w:sz="4" w:space="0" w:color="auto"/>
              <w:right w:val="single" w:sz="4" w:space="0" w:color="auto"/>
            </w:tcBorders>
            <w:shd w:val="clear" w:color="000000" w:fill="FFFFFF"/>
            <w:noWrap/>
            <w:vAlign w:val="center"/>
            <w:hideMark/>
          </w:tcPr>
          <w:p w14:paraId="389E5CC0" w14:textId="77777777" w:rsidR="00293F62" w:rsidRPr="009548E1" w:rsidRDefault="00293F62" w:rsidP="005C7D38">
            <w:pPr>
              <w:keepNext/>
              <w:jc w:val="right"/>
              <w:rPr>
                <w:sz w:val="20"/>
                <w:szCs w:val="20"/>
              </w:rPr>
            </w:pPr>
            <w:r w:rsidRPr="009548E1">
              <w:rPr>
                <w:sz w:val="20"/>
                <w:szCs w:val="20"/>
              </w:rPr>
              <w:t>33.922.383,11</w:t>
            </w:r>
          </w:p>
        </w:tc>
      </w:tr>
      <w:tr w:rsidR="00293F62" w:rsidRPr="009548E1" w14:paraId="79F310BA" w14:textId="77777777" w:rsidTr="005C7D38">
        <w:trPr>
          <w:trHeight w:val="255"/>
          <w:jc w:val="center"/>
        </w:trPr>
        <w:tc>
          <w:tcPr>
            <w:tcW w:w="505" w:type="pct"/>
            <w:tcBorders>
              <w:top w:val="nil"/>
              <w:left w:val="single" w:sz="4" w:space="0" w:color="auto"/>
              <w:bottom w:val="single" w:sz="4" w:space="0" w:color="auto"/>
              <w:right w:val="single" w:sz="4" w:space="0" w:color="auto"/>
            </w:tcBorders>
            <w:shd w:val="clear" w:color="000000" w:fill="FFFFFF"/>
            <w:vAlign w:val="center"/>
          </w:tcPr>
          <w:p w14:paraId="2AACA695" w14:textId="77777777" w:rsidR="00293F62" w:rsidRPr="009548E1" w:rsidRDefault="00293F62" w:rsidP="005C7D38">
            <w:pPr>
              <w:pStyle w:val="Odlomakpopisa"/>
              <w:keepNext/>
              <w:numPr>
                <w:ilvl w:val="0"/>
                <w:numId w:val="24"/>
              </w:numPr>
              <w:rPr>
                <w:sz w:val="20"/>
                <w:szCs w:val="20"/>
              </w:rPr>
            </w:pPr>
          </w:p>
        </w:tc>
        <w:tc>
          <w:tcPr>
            <w:tcW w:w="3222" w:type="pct"/>
            <w:tcBorders>
              <w:top w:val="nil"/>
              <w:left w:val="single" w:sz="4" w:space="0" w:color="auto"/>
              <w:bottom w:val="single" w:sz="4" w:space="0" w:color="auto"/>
              <w:right w:val="single" w:sz="4" w:space="0" w:color="auto"/>
            </w:tcBorders>
            <w:shd w:val="clear" w:color="000000" w:fill="FFFFFF"/>
            <w:noWrap/>
            <w:vAlign w:val="center"/>
            <w:hideMark/>
          </w:tcPr>
          <w:p w14:paraId="3C7F73A7" w14:textId="77777777" w:rsidR="00293F62" w:rsidRPr="009548E1" w:rsidRDefault="00293F62" w:rsidP="005C7D38">
            <w:pPr>
              <w:keepNext/>
              <w:rPr>
                <w:sz w:val="20"/>
                <w:szCs w:val="20"/>
              </w:rPr>
            </w:pPr>
            <w:r w:rsidRPr="009548E1">
              <w:rPr>
                <w:sz w:val="20"/>
                <w:szCs w:val="20"/>
              </w:rPr>
              <w:t>Beskamatni zajmovi općinskim proračunima kratkoročni</w:t>
            </w:r>
          </w:p>
        </w:tc>
        <w:tc>
          <w:tcPr>
            <w:tcW w:w="1272" w:type="pct"/>
            <w:tcBorders>
              <w:top w:val="nil"/>
              <w:left w:val="single" w:sz="4" w:space="0" w:color="auto"/>
              <w:bottom w:val="single" w:sz="4" w:space="0" w:color="auto"/>
              <w:right w:val="single" w:sz="4" w:space="0" w:color="auto"/>
            </w:tcBorders>
            <w:shd w:val="clear" w:color="000000" w:fill="FFFFFF"/>
            <w:noWrap/>
            <w:vAlign w:val="center"/>
            <w:hideMark/>
          </w:tcPr>
          <w:p w14:paraId="00849920" w14:textId="77777777" w:rsidR="00293F62" w:rsidRPr="009548E1" w:rsidRDefault="00293F62" w:rsidP="005C7D38">
            <w:pPr>
              <w:keepNext/>
              <w:jc w:val="right"/>
              <w:rPr>
                <w:sz w:val="20"/>
                <w:szCs w:val="20"/>
              </w:rPr>
            </w:pPr>
            <w:r w:rsidRPr="009548E1">
              <w:rPr>
                <w:sz w:val="20"/>
                <w:szCs w:val="20"/>
              </w:rPr>
              <w:t>2.948.727,74</w:t>
            </w:r>
          </w:p>
        </w:tc>
      </w:tr>
      <w:tr w:rsidR="00293F62" w:rsidRPr="009548E1" w14:paraId="177D4F3F" w14:textId="77777777" w:rsidTr="005C7D38">
        <w:trPr>
          <w:trHeight w:val="255"/>
          <w:jc w:val="center"/>
        </w:trPr>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7CD5A0EF" w14:textId="77777777" w:rsidR="00293F62" w:rsidRPr="009548E1" w:rsidRDefault="00293F62" w:rsidP="005C7D38">
            <w:pPr>
              <w:pStyle w:val="Odlomakpopisa"/>
              <w:keepNext/>
              <w:numPr>
                <w:ilvl w:val="0"/>
                <w:numId w:val="24"/>
              </w:numPr>
              <w:rPr>
                <w:sz w:val="20"/>
                <w:szCs w:val="20"/>
              </w:rPr>
            </w:pPr>
          </w:p>
        </w:tc>
        <w:tc>
          <w:tcPr>
            <w:tcW w:w="32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8BF5D3" w14:textId="77777777" w:rsidR="00293F62" w:rsidRPr="009548E1" w:rsidRDefault="00293F62" w:rsidP="005C7D38">
            <w:pPr>
              <w:keepNext/>
              <w:rPr>
                <w:sz w:val="20"/>
                <w:szCs w:val="20"/>
              </w:rPr>
            </w:pPr>
            <w:r w:rsidRPr="009548E1">
              <w:rPr>
                <w:sz w:val="20"/>
                <w:szCs w:val="20"/>
              </w:rPr>
              <w:t>Beskamatni zajmovi općinskim proračunima dugoročni</w:t>
            </w:r>
          </w:p>
        </w:tc>
        <w:tc>
          <w:tcPr>
            <w:tcW w:w="12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626303" w14:textId="77777777" w:rsidR="00293F62" w:rsidRPr="009548E1" w:rsidRDefault="00293F62" w:rsidP="005C7D38">
            <w:pPr>
              <w:keepNext/>
              <w:jc w:val="right"/>
              <w:rPr>
                <w:sz w:val="20"/>
                <w:szCs w:val="20"/>
              </w:rPr>
            </w:pPr>
            <w:r w:rsidRPr="009548E1">
              <w:rPr>
                <w:sz w:val="20"/>
                <w:szCs w:val="20"/>
              </w:rPr>
              <w:t xml:space="preserve">6.901.518,31 </w:t>
            </w:r>
          </w:p>
        </w:tc>
      </w:tr>
      <w:tr w:rsidR="00293F62" w:rsidRPr="009548E1" w14:paraId="618C8EB8" w14:textId="77777777" w:rsidTr="005C7D38">
        <w:trPr>
          <w:trHeight w:val="255"/>
          <w:jc w:val="center"/>
        </w:trPr>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3D55DF9B" w14:textId="77777777" w:rsidR="00293F62" w:rsidRPr="009548E1" w:rsidRDefault="00293F62" w:rsidP="005C7D38">
            <w:pPr>
              <w:pStyle w:val="Odlomakpopisa"/>
              <w:keepNext/>
              <w:rPr>
                <w:sz w:val="20"/>
                <w:szCs w:val="20"/>
              </w:rPr>
            </w:pPr>
          </w:p>
        </w:tc>
        <w:tc>
          <w:tcPr>
            <w:tcW w:w="322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700E3C" w14:textId="77777777" w:rsidR="00293F62" w:rsidRPr="009548E1" w:rsidRDefault="00293F62" w:rsidP="005C7D38">
            <w:pPr>
              <w:keepNext/>
              <w:rPr>
                <w:b/>
                <w:sz w:val="20"/>
                <w:szCs w:val="20"/>
              </w:rPr>
            </w:pPr>
            <w:r w:rsidRPr="009548E1">
              <w:rPr>
                <w:b/>
                <w:sz w:val="20"/>
                <w:szCs w:val="20"/>
              </w:rPr>
              <w:t>UKUPNO</w:t>
            </w:r>
          </w:p>
        </w:tc>
        <w:tc>
          <w:tcPr>
            <w:tcW w:w="1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DECDDE" w14:textId="77777777" w:rsidR="00293F62" w:rsidRPr="009548E1" w:rsidRDefault="00293F62" w:rsidP="005C7D38">
            <w:pPr>
              <w:keepNext/>
              <w:jc w:val="right"/>
              <w:rPr>
                <w:b/>
                <w:sz w:val="20"/>
                <w:szCs w:val="20"/>
              </w:rPr>
            </w:pPr>
            <w:r w:rsidRPr="009548E1">
              <w:rPr>
                <w:b/>
                <w:sz w:val="20"/>
                <w:szCs w:val="20"/>
              </w:rPr>
              <w:t>62.040.051,36</w:t>
            </w:r>
          </w:p>
        </w:tc>
      </w:tr>
    </w:tbl>
    <w:p w14:paraId="684C1736" w14:textId="77777777" w:rsidR="00293F62" w:rsidRPr="009548E1" w:rsidRDefault="00293F62" w:rsidP="00293F62">
      <w:pPr>
        <w:keepNext/>
        <w:jc w:val="center"/>
        <w:rPr>
          <w:bCs/>
          <w:sz w:val="28"/>
          <w:szCs w:val="28"/>
        </w:rPr>
      </w:pPr>
    </w:p>
    <w:p w14:paraId="4A2361CF" w14:textId="77777777" w:rsidR="00293F62" w:rsidRPr="009548E1" w:rsidRDefault="00293F62" w:rsidP="00293F62">
      <w:pPr>
        <w:keepNext/>
        <w:jc w:val="center"/>
        <w:rPr>
          <w:bCs/>
          <w:sz w:val="28"/>
          <w:szCs w:val="28"/>
        </w:rPr>
      </w:pPr>
      <w:r>
        <w:rPr>
          <w:bCs/>
          <w:sz w:val="28"/>
          <w:szCs w:val="28"/>
        </w:rPr>
        <w:t>Bilješka 10</w:t>
      </w:r>
      <w:r w:rsidRPr="009548E1">
        <w:rPr>
          <w:bCs/>
          <w:sz w:val="28"/>
          <w:szCs w:val="28"/>
        </w:rPr>
        <w:t xml:space="preserve">. </w:t>
      </w:r>
    </w:p>
    <w:p w14:paraId="4A6C3151" w14:textId="77777777" w:rsidR="00293F62" w:rsidRPr="009548E1" w:rsidRDefault="00293F62" w:rsidP="00293F62">
      <w:pPr>
        <w:keepNext/>
        <w:spacing w:after="240"/>
        <w:jc w:val="center"/>
        <w:rPr>
          <w:bCs/>
          <w:sz w:val="28"/>
          <w:szCs w:val="28"/>
        </w:rPr>
      </w:pPr>
      <w:r w:rsidRPr="009548E1">
        <w:rPr>
          <w:bCs/>
          <w:sz w:val="28"/>
          <w:szCs w:val="28"/>
        </w:rPr>
        <w:t>Šifra 1375 Zajmovi HZMO-u, HZZ-u, HZZO-u i šifra 1376 Zajmovi ostalim izvanproračunskim korisnicima državnog proračuna</w:t>
      </w:r>
    </w:p>
    <w:p w14:paraId="33ACD894" w14:textId="77777777" w:rsidR="00293F62" w:rsidRPr="009548E1" w:rsidRDefault="00293F62" w:rsidP="00293F62">
      <w:pPr>
        <w:spacing w:before="120" w:after="120"/>
        <w:jc w:val="both"/>
      </w:pPr>
      <w:r w:rsidRPr="009548E1">
        <w:t xml:space="preserve">Potraživanja za dane zajmove Hrvatskom zavodu za mirovinsko osiguranje (HZMO), Hrvatskom zavodu za zapošljavanje (HZZ), Hrvatskom zavodu za zdravstveno osiguranje (HZZO) na dan 31. prosinca 2023. godine (šifra 1375) iznose 92.540.130,18 eura, i manja su za 14,0% u odnosu na stanje na dan 1. siječnja 2023. godine. Navedena potraživanja odnose se na beskamatne zajmove isplaćene HZZO-u temeljem odgode/obročne otplate te oslobođenja od plaćanja doprinosa u skladu s Naputkom o načinu isplate beskamatnog zajma JLP(R)S, HZMO i HZZO-u. Hrvatski zavod za zdravstveno osiguranje iste vraća najkasnije do kraja 2027. godine. </w:t>
      </w:r>
    </w:p>
    <w:p w14:paraId="08FD6BAD" w14:textId="77777777" w:rsidR="00293F62" w:rsidRPr="009548E1" w:rsidRDefault="00293F62" w:rsidP="00293F62">
      <w:pPr>
        <w:spacing w:before="120" w:after="120"/>
        <w:jc w:val="both"/>
      </w:pPr>
      <w:r w:rsidRPr="009548E1">
        <w:t>Potraživanja za dane zajmove ostalim izvanproračunskim korisnicima državnog proračuna na dan 31. prosinca 2023. godine iznosila su 1.300.224.502,37 eura</w:t>
      </w:r>
      <w:r w:rsidRPr="009548E1">
        <w:rPr>
          <w:bCs/>
        </w:rPr>
        <w:t xml:space="preserve"> (šifra 1376)</w:t>
      </w:r>
      <w:r w:rsidRPr="009548E1">
        <w:t xml:space="preserve"> od čega se najveći dio odnosi na zajmove dane Hrvatskim autocestama d.o.o., Hrvatskim cestama d.o.o. te Autocesti Rijeka – Zagreb d.d. i preostala su potraživanja za zajmove temeljem Sporazuma o međusobnim obvezama i potraživanjima s Centrom za restrukturiranje i prodaju. </w:t>
      </w:r>
    </w:p>
    <w:p w14:paraId="7D189161" w14:textId="77777777" w:rsidR="00293F62" w:rsidRPr="009548E1" w:rsidRDefault="00293F62" w:rsidP="00293F62">
      <w:pPr>
        <w:keepNext/>
        <w:jc w:val="center"/>
        <w:rPr>
          <w:bCs/>
          <w:sz w:val="28"/>
          <w:szCs w:val="28"/>
        </w:rPr>
      </w:pPr>
    </w:p>
    <w:p w14:paraId="328E25A8" w14:textId="77777777" w:rsidR="00293F62" w:rsidRPr="009548E1" w:rsidRDefault="00293F62" w:rsidP="00293F62">
      <w:pPr>
        <w:keepNext/>
        <w:jc w:val="center"/>
        <w:rPr>
          <w:sz w:val="28"/>
        </w:rPr>
      </w:pPr>
      <w:r>
        <w:rPr>
          <w:sz w:val="28"/>
        </w:rPr>
        <w:t>Bilješka 11</w:t>
      </w:r>
      <w:r w:rsidRPr="009548E1">
        <w:rPr>
          <w:sz w:val="28"/>
        </w:rPr>
        <w:t>.</w:t>
      </w:r>
    </w:p>
    <w:p w14:paraId="12477BC5" w14:textId="77777777" w:rsidR="00293F62" w:rsidRPr="009548E1" w:rsidRDefault="00293F62" w:rsidP="00293F62">
      <w:pPr>
        <w:keepNext/>
        <w:spacing w:after="240"/>
        <w:jc w:val="center"/>
        <w:rPr>
          <w:sz w:val="28"/>
        </w:rPr>
      </w:pPr>
      <w:r w:rsidRPr="009548E1">
        <w:rPr>
          <w:sz w:val="28"/>
        </w:rPr>
        <w:t>Šifra 1462 Ostali vrijednosni papiri (inozemni)</w:t>
      </w:r>
    </w:p>
    <w:p w14:paraId="5B63F0F5" w14:textId="77777777" w:rsidR="00293F62" w:rsidRPr="009548E1" w:rsidRDefault="00293F62" w:rsidP="00293F62">
      <w:pPr>
        <w:widowControl w:val="0"/>
        <w:jc w:val="both"/>
      </w:pPr>
      <w:r w:rsidRPr="009548E1">
        <w:t>Na dan 31. prosinca 2023. godine vrijednost ostalih vrijednosnih papira u iznosu od 3.881.909,67 eura odnosi se na investicijski fond - J.P. Morgan Fleming, a povećanje u iznosu od 1,4% u odnosu na stanje na dan 1. siječnja 2023. godine odnosi se na vrijednosno usklađenje s 31. prosinca 2022.</w:t>
      </w:r>
    </w:p>
    <w:p w14:paraId="241FD048" w14:textId="77777777" w:rsidR="00293F62" w:rsidRPr="009548E1" w:rsidRDefault="00293F62" w:rsidP="00293F62">
      <w:pPr>
        <w:keepNext/>
        <w:jc w:val="center"/>
        <w:rPr>
          <w:sz w:val="28"/>
        </w:rPr>
      </w:pPr>
      <w:r>
        <w:rPr>
          <w:sz w:val="28"/>
        </w:rPr>
        <w:t>Bilješka 12</w:t>
      </w:r>
      <w:r w:rsidRPr="009548E1">
        <w:rPr>
          <w:sz w:val="28"/>
        </w:rPr>
        <w:t>.</w:t>
      </w:r>
    </w:p>
    <w:p w14:paraId="7386157F" w14:textId="77777777" w:rsidR="00293F62" w:rsidRPr="009548E1" w:rsidRDefault="00293F62" w:rsidP="00293F62">
      <w:pPr>
        <w:keepNext/>
        <w:spacing w:after="240"/>
        <w:jc w:val="center"/>
        <w:rPr>
          <w:sz w:val="28"/>
        </w:rPr>
      </w:pPr>
      <w:r w:rsidRPr="009548E1">
        <w:rPr>
          <w:sz w:val="28"/>
        </w:rPr>
        <w:t>Šifra 1512 Dionice i udjeli u glavnici kreditnih institucija u javnom sektoru i 1521 Dionice i udjeli u glavnici trgovačkih društava u javnom sektoru</w:t>
      </w:r>
    </w:p>
    <w:p w14:paraId="79F3A3F1" w14:textId="77777777" w:rsidR="00293F62" w:rsidRPr="009548E1" w:rsidRDefault="00293F62" w:rsidP="00293F62">
      <w:pPr>
        <w:jc w:val="both"/>
      </w:pPr>
      <w:r w:rsidRPr="009548E1">
        <w:t>Dionice i udjeli u glavnici kreditnih institucija u javnom sektoru (šifra 1512) na dan 31. prosinca 2023. godine iznose 1.001.782.458,90 eura, a dionice i udjeli u glavnici trgovačkih društava u javnom sektoru (šifra 1521) iznose 4.238.051.340,53 eura, a odnose se na dionice i udjele u pravnim osobama od posebnog interesa za Republiku Hrvatsku.</w:t>
      </w:r>
    </w:p>
    <w:p w14:paraId="12E549AB" w14:textId="77777777" w:rsidR="00293F62" w:rsidRPr="009548E1" w:rsidRDefault="00293F62" w:rsidP="00293F62">
      <w:pPr>
        <w:pStyle w:val="xbox473596"/>
        <w:shd w:val="clear" w:color="auto" w:fill="FFFFFF"/>
        <w:spacing w:before="0" w:beforeAutospacing="0" w:after="48" w:afterAutospacing="0"/>
        <w:jc w:val="both"/>
        <w:textAlignment w:val="baseline"/>
        <w:rPr>
          <w:color w:val="000000"/>
        </w:rPr>
      </w:pPr>
      <w:r w:rsidRPr="009548E1">
        <w:rPr>
          <w:color w:val="231F20"/>
          <w:shd w:val="clear" w:color="auto" w:fill="FFFFFF"/>
        </w:rPr>
        <w:t>Naime, Zakonom o izmjenama Zakona o ustrojstvu i djelokrugu tijela državne uprave</w:t>
      </w:r>
      <w:r w:rsidRPr="009548E1">
        <w:rPr>
          <w:color w:val="000000"/>
        </w:rPr>
        <w:t xml:space="preserve"> (Narodne novine, br. 21/2023) izmijenjene su odredbe o djelokrugu Ministarstva financija i utvrđeno je da Ministarstvo financija preuzima poslove iz djelokruga Ministarstva prostornoga uređenja, graditeljstva i državne imovine u dijelu koji se odnosi na ostvarivanje vlasničke politike u pravnim osobama od posebnog interesa za Republiku Hrvatsku. </w:t>
      </w:r>
      <w:r w:rsidRPr="009548E1">
        <w:t>Ministarstvu financija prenesene se dionice i udjeli u društvima od posebnoga interesa za republiku Hrvatsku iz poslovnih knjiga Ministarstva prostornoga uređenja, graditeljstva i državne imovine.</w:t>
      </w:r>
    </w:p>
    <w:p w14:paraId="0147D501" w14:textId="77777777" w:rsidR="00293F62" w:rsidRPr="009548E1" w:rsidRDefault="00293F62" w:rsidP="00293F62">
      <w:pPr>
        <w:keepNext/>
        <w:jc w:val="center"/>
        <w:rPr>
          <w:sz w:val="28"/>
        </w:rPr>
      </w:pPr>
    </w:p>
    <w:p w14:paraId="3BC33D76" w14:textId="77777777" w:rsidR="00293F62" w:rsidRPr="009548E1" w:rsidRDefault="00293F62" w:rsidP="00293F62">
      <w:pPr>
        <w:keepNext/>
        <w:jc w:val="center"/>
        <w:rPr>
          <w:sz w:val="28"/>
        </w:rPr>
      </w:pPr>
      <w:r>
        <w:rPr>
          <w:sz w:val="28"/>
        </w:rPr>
        <w:t>Bilješka 13</w:t>
      </w:r>
      <w:r w:rsidRPr="009548E1">
        <w:rPr>
          <w:sz w:val="28"/>
        </w:rPr>
        <w:t>.</w:t>
      </w:r>
    </w:p>
    <w:p w14:paraId="4C19B740" w14:textId="77777777" w:rsidR="00293F62" w:rsidRPr="009548E1" w:rsidRDefault="00293F62" w:rsidP="00293F62">
      <w:pPr>
        <w:keepNext/>
        <w:spacing w:after="240"/>
        <w:jc w:val="center"/>
        <w:rPr>
          <w:sz w:val="28"/>
        </w:rPr>
      </w:pPr>
      <w:r w:rsidRPr="009548E1">
        <w:rPr>
          <w:sz w:val="28"/>
        </w:rPr>
        <w:t>Šifra 1541 Dionice i udjeli u glavnici trgovačkih društava izvan javnog sektora</w:t>
      </w:r>
    </w:p>
    <w:p w14:paraId="11980053" w14:textId="77777777" w:rsidR="00293F62" w:rsidRPr="009548E1" w:rsidRDefault="00293F62" w:rsidP="00293F62">
      <w:pPr>
        <w:jc w:val="both"/>
      </w:pPr>
      <w:r w:rsidRPr="009548E1">
        <w:t>Dionice i udjeli u trgovačkih društava i</w:t>
      </w:r>
      <w:r>
        <w:t>zvan javnog sektora</w:t>
      </w:r>
      <w:r w:rsidRPr="009548E1">
        <w:t xml:space="preserve"> na dan 31. prosinca 2023. godine iznose 14.594.996,35 eura, dok su na dan 1. siječnja 2023. iznosila 13.405.003,65 eura.</w:t>
      </w:r>
    </w:p>
    <w:p w14:paraId="0F511D1D" w14:textId="77777777" w:rsidR="00293F62" w:rsidRPr="009548E1" w:rsidRDefault="00293F62" w:rsidP="00293F62">
      <w:pPr>
        <w:jc w:val="both"/>
      </w:pPr>
    </w:p>
    <w:p w14:paraId="35D6946A" w14:textId="77777777" w:rsidR="00293F62" w:rsidRPr="009548E1" w:rsidRDefault="00293F62" w:rsidP="00293F62">
      <w:pPr>
        <w:shd w:val="clear" w:color="auto" w:fill="FFFFFF"/>
        <w:jc w:val="both"/>
      </w:pPr>
      <w:r w:rsidRPr="009548E1">
        <w:t>U 2021. godini za dionice i udjele u glavnici tuzemnih trgovačkih društava izvan javnog sektora u</w:t>
      </w:r>
      <w:r>
        <w:t xml:space="preserve"> iznosu od </w:t>
      </w:r>
      <w:r w:rsidRPr="00787E1A">
        <w:t xml:space="preserve">13.633.419,60 eura </w:t>
      </w:r>
      <w:r>
        <w:t>stečene su naplatom potraživanja Republike Hrvatske u poslovnim udjelima</w:t>
      </w:r>
      <w:r w:rsidRPr="009548E1">
        <w:t xml:space="preserve"> društva Uljanik Brodogradnja 1856 d.o.o. Dana 17. svibnja 2021. godine zaključen je Ugovor o unovčenju pokretnina opterećenih </w:t>
      </w:r>
      <w:proofErr w:type="spellStart"/>
      <w:r w:rsidRPr="009548E1">
        <w:t>razlučnim</w:t>
      </w:r>
      <w:proofErr w:type="spellEnd"/>
      <w:r w:rsidRPr="009548E1">
        <w:t xml:space="preserve"> pravom između Ministarstva financija i društva Uljanik Brodogradilište d.d. u stečaju. Navedenim Ugovorom izvršen je prijeboj tražbine Ministarstva financija na ime plaćenih državnih jamstava sa </w:t>
      </w:r>
      <w:proofErr w:type="spellStart"/>
      <w:r w:rsidRPr="009548E1">
        <w:t>protutražbinom</w:t>
      </w:r>
      <w:proofErr w:type="spellEnd"/>
      <w:r w:rsidRPr="009548E1">
        <w:t xml:space="preserve"> Uljanik Brodogradilišta d.d. u stečaju po osnovi utvrđene vrijednosti pokretnina u iznosu od </w:t>
      </w:r>
      <w:r>
        <w:t>13.633.419,60 eura</w:t>
      </w:r>
      <w:r w:rsidRPr="009548E1">
        <w:t xml:space="preserve">. Nakon stjecanja vlasništva prethodno navedenih pokretnina, iste su sukladno Ugovoru o ulaganju stvari u društvo Uljanik Brodogradnja 1856 d.o.o. od 6. srpnja 2021. godine zaključenom između Ministarstva financija i Uljanik brodogradnje 1856 d.o.o., unesene u navedeno društvo u iznosu od 102,7 milijuna kuna tj. Ministarstvo financija je unosom pokretnina u društvo isto dokapitaliziralo i steklo poslovne udjele u društvu. </w:t>
      </w:r>
    </w:p>
    <w:p w14:paraId="040866CD" w14:textId="77777777" w:rsidR="00293F62" w:rsidRPr="009548E1" w:rsidRDefault="00293F62" w:rsidP="00293F62">
      <w:pPr>
        <w:jc w:val="both"/>
      </w:pPr>
    </w:p>
    <w:p w14:paraId="515C741A" w14:textId="77777777" w:rsidR="00293F62" w:rsidRPr="009548E1" w:rsidRDefault="00293F62" w:rsidP="00293F62">
      <w:pPr>
        <w:shd w:val="clear" w:color="auto" w:fill="FFFFFF"/>
        <w:jc w:val="both"/>
        <w:rPr>
          <w:color w:val="000000"/>
        </w:rPr>
      </w:pPr>
      <w:r w:rsidRPr="009548E1">
        <w:rPr>
          <w:color w:val="000000"/>
        </w:rPr>
        <w:t>Osim navedenog, dio iznosa odnosi se na stjecanje udjela u temeljnom kapitalu trgovačkog društva čiji podaci su klasificirani podaci sukladno Zakonu o tajnosti podataka kojim se uređuje pojam klasificiranih i neklasificiranih podataka.</w:t>
      </w:r>
    </w:p>
    <w:p w14:paraId="62DEFB09" w14:textId="77777777" w:rsidR="00293F62" w:rsidRPr="009548E1" w:rsidRDefault="00293F62" w:rsidP="00293F62">
      <w:pPr>
        <w:keepNext/>
        <w:jc w:val="center"/>
        <w:rPr>
          <w:sz w:val="28"/>
        </w:rPr>
      </w:pPr>
    </w:p>
    <w:p w14:paraId="1F517033" w14:textId="77777777" w:rsidR="00293F62" w:rsidRPr="009548E1" w:rsidRDefault="00293F62" w:rsidP="00293F62">
      <w:pPr>
        <w:jc w:val="center"/>
        <w:rPr>
          <w:sz w:val="28"/>
        </w:rPr>
      </w:pPr>
      <w:r>
        <w:rPr>
          <w:sz w:val="28"/>
        </w:rPr>
        <w:t>Bilješka 14</w:t>
      </w:r>
      <w:r w:rsidRPr="009548E1">
        <w:rPr>
          <w:sz w:val="28"/>
        </w:rPr>
        <w:t>.</w:t>
      </w:r>
    </w:p>
    <w:p w14:paraId="124A0589" w14:textId="77777777" w:rsidR="00293F62" w:rsidRPr="009548E1" w:rsidRDefault="00293F62" w:rsidP="00293F62">
      <w:pPr>
        <w:spacing w:after="240"/>
        <w:jc w:val="center"/>
        <w:rPr>
          <w:sz w:val="28"/>
        </w:rPr>
      </w:pPr>
      <w:r w:rsidRPr="009548E1">
        <w:rPr>
          <w:sz w:val="28"/>
        </w:rPr>
        <w:t>Šifra 1532 Dionice i udjeli u glavnici inozemnih kreditnih i ostalih financijskih institucija</w:t>
      </w:r>
    </w:p>
    <w:p w14:paraId="3CC3044E" w14:textId="77777777" w:rsidR="00293F62" w:rsidRPr="009548E1" w:rsidRDefault="00293F62" w:rsidP="00293F62">
      <w:pPr>
        <w:jc w:val="both"/>
        <w:rPr>
          <w:szCs w:val="20"/>
        </w:rPr>
      </w:pPr>
      <w:r w:rsidRPr="009548E1">
        <w:rPr>
          <w:szCs w:val="20"/>
        </w:rPr>
        <w:t>Dionice i udjeli u glavnici inozemnih kreditnih i o</w:t>
      </w:r>
      <w:r>
        <w:rPr>
          <w:szCs w:val="20"/>
        </w:rPr>
        <w:t>stalih financijskih institucija</w:t>
      </w:r>
      <w:r w:rsidRPr="009548E1">
        <w:rPr>
          <w:szCs w:val="20"/>
        </w:rPr>
        <w:t xml:space="preserve"> na dan 31. prosinca 2023. godine iznose 280.876.815,33 eura, dok su na dan 1. siječnja 2023. godine iznosila</w:t>
      </w:r>
      <w:r w:rsidRPr="009548E1">
        <w:t xml:space="preserve"> </w:t>
      </w:r>
      <w:r w:rsidRPr="009548E1">
        <w:rPr>
          <w:szCs w:val="20"/>
        </w:rPr>
        <w:t>193.403.330,39 eura što predstavlja povećanje od 45,2% u promatranom razdoblju.</w:t>
      </w:r>
    </w:p>
    <w:p w14:paraId="2088EC45" w14:textId="77777777" w:rsidR="00293F62" w:rsidRPr="009548E1" w:rsidRDefault="00293F62" w:rsidP="00293F62">
      <w:pPr>
        <w:jc w:val="both"/>
      </w:pPr>
    </w:p>
    <w:p w14:paraId="3FDCD4EE" w14:textId="77777777" w:rsidR="00293F62" w:rsidRPr="009548E1" w:rsidRDefault="00293F62" w:rsidP="00293F62">
      <w:pPr>
        <w:jc w:val="both"/>
      </w:pPr>
      <w:r w:rsidRPr="009548E1">
        <w:t xml:space="preserve">Stanje na dan 31. prosinca 2023. godine iznosi 280.876.815,33 eura i veće je za 45,2% u odnosu na početno stanje 2023. godine, a odnosi se na članski kapital Republike Hrvatske u sljedećim međunarodnim financijskim institucijama: Međunarodna banka za obnovu i razvoj (IBRD), Međunarodno udruženje za razvoj (IDA), Međunarodna financijska korporacija (IFC), Multilateralna agencija za osiguranje investicija (MIGA), Europska investicijska banka (EIB), Europska banka za obnovu i razvoj (EBRD), Razvojna banka Vijeća Europe (CEB), Inter-američka banka za razvoj (IDB), Inter-američka investicijska korporacija (IIC) i Azijska infrastrukturna investicijska banka (AIIB) u iznosu od 269.935.739,10 eura i ulaganje Republike Hrvatske u Investicijski fond Inicijative triju mora temeljem Odluke Vlade Republike Hrvatske od 14. listopada 2020. godine u iznosu od 10.960.055,57 eura. </w:t>
      </w:r>
    </w:p>
    <w:p w14:paraId="15E17B57" w14:textId="77777777" w:rsidR="00293F62" w:rsidRPr="009548E1" w:rsidRDefault="00293F62" w:rsidP="00293F62">
      <w:pPr>
        <w:jc w:val="both"/>
      </w:pPr>
    </w:p>
    <w:p w14:paraId="06457A06" w14:textId="77777777" w:rsidR="00293F62" w:rsidRPr="009548E1" w:rsidRDefault="00293F62" w:rsidP="00293F62">
      <w:pPr>
        <w:jc w:val="both"/>
        <w:rPr>
          <w:b/>
          <w:sz w:val="20"/>
          <w:szCs w:val="20"/>
        </w:rPr>
      </w:pPr>
      <w:r w:rsidRPr="009548E1">
        <w:rPr>
          <w:b/>
          <w:sz w:val="20"/>
          <w:szCs w:val="20"/>
        </w:rPr>
        <w:t xml:space="preserve">Tablica 3. </w:t>
      </w:r>
      <w:r>
        <w:rPr>
          <w:b/>
          <w:sz w:val="20"/>
          <w:szCs w:val="20"/>
        </w:rPr>
        <w:t>Članski kapital Republike Hrvatske u međunarodnim financijskim institucijama</w:t>
      </w:r>
    </w:p>
    <w:tbl>
      <w:tblPr>
        <w:tblW w:w="9920" w:type="dxa"/>
        <w:jc w:val="center"/>
        <w:tblLook w:val="04A0" w:firstRow="1" w:lastRow="0" w:firstColumn="1" w:lastColumn="0" w:noHBand="0" w:noVBand="1"/>
      </w:tblPr>
      <w:tblGrid>
        <w:gridCol w:w="960"/>
        <w:gridCol w:w="3920"/>
        <w:gridCol w:w="1960"/>
        <w:gridCol w:w="1540"/>
        <w:gridCol w:w="1540"/>
      </w:tblGrid>
      <w:tr w:rsidR="00293F62" w:rsidRPr="009548E1" w14:paraId="28BA05BA" w14:textId="77777777" w:rsidTr="005C7D38">
        <w:trPr>
          <w:trHeight w:val="510"/>
          <w:jc w:val="center"/>
        </w:trPr>
        <w:tc>
          <w:tcPr>
            <w:tcW w:w="6840" w:type="dxa"/>
            <w:gridSpan w:val="3"/>
            <w:tcBorders>
              <w:top w:val="nil"/>
              <w:left w:val="nil"/>
              <w:bottom w:val="nil"/>
              <w:right w:val="nil"/>
            </w:tcBorders>
            <w:shd w:val="clear" w:color="auto" w:fill="auto"/>
            <w:noWrap/>
            <w:vAlign w:val="bottom"/>
            <w:hideMark/>
          </w:tcPr>
          <w:p w14:paraId="3266DB3F" w14:textId="77777777" w:rsidR="00293F62" w:rsidRPr="009548E1" w:rsidRDefault="00293F62" w:rsidP="005C7D38">
            <w:pPr>
              <w:rPr>
                <w:sz w:val="20"/>
                <w:szCs w:val="20"/>
              </w:rPr>
            </w:pPr>
          </w:p>
        </w:tc>
        <w:tc>
          <w:tcPr>
            <w:tcW w:w="3080"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14:paraId="2EF5DA07" w14:textId="77777777" w:rsidR="00293F62" w:rsidRPr="009548E1" w:rsidRDefault="00293F62" w:rsidP="005C7D38">
            <w:pPr>
              <w:jc w:val="center"/>
              <w:rPr>
                <w:rFonts w:ascii="Arial" w:hAnsi="Arial" w:cs="Arial"/>
                <w:b/>
                <w:bCs/>
                <w:sz w:val="20"/>
                <w:szCs w:val="20"/>
              </w:rPr>
            </w:pPr>
            <w:r w:rsidRPr="009548E1">
              <w:rPr>
                <w:rFonts w:ascii="Arial" w:hAnsi="Arial" w:cs="Arial"/>
                <w:b/>
                <w:bCs/>
                <w:sz w:val="20"/>
                <w:szCs w:val="20"/>
              </w:rPr>
              <w:t xml:space="preserve">UPLAĆENI KAPITAL </w:t>
            </w:r>
            <w:r w:rsidRPr="009548E1">
              <w:rPr>
                <w:rFonts w:ascii="Arial" w:hAnsi="Arial" w:cs="Arial"/>
                <w:b/>
                <w:bCs/>
                <w:sz w:val="20"/>
                <w:szCs w:val="20"/>
              </w:rPr>
              <w:br/>
              <w:t>(PAID-IN CAPITAL)</w:t>
            </w:r>
          </w:p>
        </w:tc>
      </w:tr>
      <w:tr w:rsidR="00293F62" w:rsidRPr="009548E1" w14:paraId="658A31BE" w14:textId="77777777" w:rsidTr="005C7D38">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A797B" w14:textId="77777777" w:rsidR="00293F62" w:rsidRPr="009548E1" w:rsidRDefault="00293F62" w:rsidP="005C7D38">
            <w:pPr>
              <w:jc w:val="center"/>
              <w:rPr>
                <w:b/>
                <w:bCs/>
                <w:sz w:val="16"/>
                <w:szCs w:val="16"/>
              </w:rPr>
            </w:pPr>
            <w:r w:rsidRPr="009548E1">
              <w:rPr>
                <w:b/>
                <w:bCs/>
                <w:sz w:val="16"/>
                <w:szCs w:val="16"/>
              </w:rPr>
              <w:t>Red. broj</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0C930D0C" w14:textId="77777777" w:rsidR="00293F62" w:rsidRPr="009548E1" w:rsidRDefault="00293F62" w:rsidP="005C7D38">
            <w:pPr>
              <w:jc w:val="center"/>
              <w:rPr>
                <w:b/>
                <w:bCs/>
                <w:sz w:val="16"/>
                <w:szCs w:val="16"/>
              </w:rPr>
            </w:pPr>
            <w:r w:rsidRPr="009548E1">
              <w:rPr>
                <w:b/>
                <w:bCs/>
                <w:sz w:val="16"/>
                <w:szCs w:val="16"/>
              </w:rPr>
              <w:t>Naziv</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00684308" w14:textId="77777777" w:rsidR="00293F62" w:rsidRPr="009548E1" w:rsidRDefault="00293F62" w:rsidP="005C7D38">
            <w:pPr>
              <w:jc w:val="center"/>
              <w:rPr>
                <w:b/>
                <w:bCs/>
                <w:sz w:val="16"/>
                <w:szCs w:val="16"/>
              </w:rPr>
            </w:pPr>
            <w:r w:rsidRPr="009548E1">
              <w:rPr>
                <w:b/>
                <w:bCs/>
                <w:sz w:val="16"/>
                <w:szCs w:val="16"/>
              </w:rPr>
              <w:t>Valuta</w:t>
            </w:r>
          </w:p>
        </w:tc>
        <w:tc>
          <w:tcPr>
            <w:tcW w:w="1540" w:type="dxa"/>
            <w:tcBorders>
              <w:top w:val="nil"/>
              <w:left w:val="nil"/>
              <w:bottom w:val="single" w:sz="4" w:space="0" w:color="auto"/>
              <w:right w:val="single" w:sz="4" w:space="0" w:color="auto"/>
            </w:tcBorders>
            <w:shd w:val="clear" w:color="auto" w:fill="auto"/>
            <w:vAlign w:val="center"/>
            <w:hideMark/>
          </w:tcPr>
          <w:p w14:paraId="3AE029D4" w14:textId="77777777" w:rsidR="00293F62" w:rsidRPr="009548E1" w:rsidRDefault="00293F62" w:rsidP="005C7D38">
            <w:pPr>
              <w:jc w:val="center"/>
              <w:rPr>
                <w:b/>
                <w:bCs/>
                <w:sz w:val="16"/>
                <w:szCs w:val="16"/>
              </w:rPr>
            </w:pPr>
            <w:r w:rsidRPr="009548E1">
              <w:rPr>
                <w:b/>
                <w:bCs/>
                <w:sz w:val="16"/>
                <w:szCs w:val="16"/>
              </w:rPr>
              <w:t>Stanje na dan 31.12.2023.  (</w:t>
            </w:r>
            <w:proofErr w:type="spellStart"/>
            <w:r w:rsidRPr="009548E1">
              <w:rPr>
                <w:b/>
                <w:bCs/>
                <w:sz w:val="16"/>
                <w:szCs w:val="16"/>
              </w:rPr>
              <w:t>org.val</w:t>
            </w:r>
            <w:proofErr w:type="spellEnd"/>
            <w:r w:rsidRPr="009548E1">
              <w:rPr>
                <w:b/>
                <w:bCs/>
                <w:sz w:val="16"/>
                <w:szCs w:val="16"/>
              </w:rPr>
              <w:t>.)</w:t>
            </w:r>
          </w:p>
        </w:tc>
        <w:tc>
          <w:tcPr>
            <w:tcW w:w="1540" w:type="dxa"/>
            <w:tcBorders>
              <w:top w:val="nil"/>
              <w:left w:val="nil"/>
              <w:bottom w:val="single" w:sz="4" w:space="0" w:color="auto"/>
              <w:right w:val="single" w:sz="4" w:space="0" w:color="auto"/>
            </w:tcBorders>
            <w:shd w:val="clear" w:color="auto" w:fill="auto"/>
            <w:vAlign w:val="center"/>
            <w:hideMark/>
          </w:tcPr>
          <w:p w14:paraId="44B16C07" w14:textId="77777777" w:rsidR="00293F62" w:rsidRPr="009548E1" w:rsidRDefault="00293F62" w:rsidP="005C7D38">
            <w:pPr>
              <w:jc w:val="center"/>
              <w:rPr>
                <w:b/>
                <w:bCs/>
                <w:sz w:val="16"/>
                <w:szCs w:val="16"/>
              </w:rPr>
            </w:pPr>
            <w:r w:rsidRPr="009548E1">
              <w:rPr>
                <w:b/>
                <w:bCs/>
                <w:sz w:val="16"/>
                <w:szCs w:val="16"/>
              </w:rPr>
              <w:t>Stanje na 31.12.2023. u euru</w:t>
            </w:r>
          </w:p>
        </w:tc>
      </w:tr>
      <w:tr w:rsidR="00293F62" w:rsidRPr="009548E1" w14:paraId="3EDD2CC0" w14:textId="77777777" w:rsidTr="005C7D3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A320C4" w14:textId="77777777" w:rsidR="00293F62" w:rsidRPr="009548E1" w:rsidRDefault="00293F62" w:rsidP="005C7D38">
            <w:pPr>
              <w:jc w:val="center"/>
              <w:rPr>
                <w:sz w:val="16"/>
                <w:szCs w:val="16"/>
              </w:rPr>
            </w:pPr>
            <w:r w:rsidRPr="009548E1">
              <w:rPr>
                <w:sz w:val="16"/>
                <w:szCs w:val="16"/>
              </w:rPr>
              <w:t>1</w:t>
            </w:r>
            <w:r>
              <w:rPr>
                <w:sz w:val="16"/>
                <w:szCs w:val="16"/>
              </w:rPr>
              <w:t>.</w:t>
            </w:r>
          </w:p>
        </w:tc>
        <w:tc>
          <w:tcPr>
            <w:tcW w:w="3920" w:type="dxa"/>
            <w:tcBorders>
              <w:top w:val="nil"/>
              <w:left w:val="nil"/>
              <w:bottom w:val="single" w:sz="4" w:space="0" w:color="auto"/>
              <w:right w:val="single" w:sz="4" w:space="0" w:color="auto"/>
            </w:tcBorders>
            <w:shd w:val="clear" w:color="auto" w:fill="auto"/>
            <w:noWrap/>
            <w:vAlign w:val="center"/>
            <w:hideMark/>
          </w:tcPr>
          <w:p w14:paraId="6A2CB167" w14:textId="77777777" w:rsidR="00293F62" w:rsidRPr="009548E1" w:rsidRDefault="00293F62" w:rsidP="005C7D38">
            <w:pPr>
              <w:rPr>
                <w:sz w:val="16"/>
                <w:szCs w:val="16"/>
              </w:rPr>
            </w:pPr>
            <w:r>
              <w:rPr>
                <w:sz w:val="16"/>
                <w:szCs w:val="16"/>
              </w:rPr>
              <w:t>IBRD</w:t>
            </w:r>
          </w:p>
        </w:tc>
        <w:tc>
          <w:tcPr>
            <w:tcW w:w="1960" w:type="dxa"/>
            <w:tcBorders>
              <w:top w:val="nil"/>
              <w:left w:val="nil"/>
              <w:bottom w:val="single" w:sz="4" w:space="0" w:color="auto"/>
              <w:right w:val="single" w:sz="4" w:space="0" w:color="auto"/>
            </w:tcBorders>
            <w:shd w:val="clear" w:color="auto" w:fill="auto"/>
            <w:vAlign w:val="center"/>
            <w:hideMark/>
          </w:tcPr>
          <w:p w14:paraId="4F9EB115" w14:textId="77777777" w:rsidR="00293F62" w:rsidRPr="009548E1" w:rsidRDefault="00293F62" w:rsidP="005C7D38">
            <w:pPr>
              <w:jc w:val="center"/>
              <w:rPr>
                <w:sz w:val="16"/>
                <w:szCs w:val="16"/>
              </w:rPr>
            </w:pPr>
            <w:r w:rsidRPr="009548E1">
              <w:rPr>
                <w:sz w:val="16"/>
                <w:szCs w:val="16"/>
              </w:rPr>
              <w:t>USD</w:t>
            </w:r>
          </w:p>
        </w:tc>
        <w:tc>
          <w:tcPr>
            <w:tcW w:w="1540" w:type="dxa"/>
            <w:tcBorders>
              <w:top w:val="nil"/>
              <w:left w:val="nil"/>
              <w:bottom w:val="single" w:sz="4" w:space="0" w:color="auto"/>
              <w:right w:val="single" w:sz="4" w:space="0" w:color="auto"/>
            </w:tcBorders>
            <w:shd w:val="clear" w:color="auto" w:fill="auto"/>
            <w:vAlign w:val="center"/>
            <w:hideMark/>
          </w:tcPr>
          <w:p w14:paraId="15FC50D1" w14:textId="77777777" w:rsidR="00293F62" w:rsidRPr="009548E1" w:rsidRDefault="00293F62" w:rsidP="005C7D38">
            <w:pPr>
              <w:jc w:val="right"/>
              <w:rPr>
                <w:sz w:val="16"/>
                <w:szCs w:val="16"/>
              </w:rPr>
            </w:pPr>
            <w:r w:rsidRPr="009548E1">
              <w:rPr>
                <w:sz w:val="16"/>
                <w:szCs w:val="16"/>
              </w:rPr>
              <w:t>29.875.257,75</w:t>
            </w:r>
          </w:p>
        </w:tc>
        <w:tc>
          <w:tcPr>
            <w:tcW w:w="1540" w:type="dxa"/>
            <w:tcBorders>
              <w:top w:val="nil"/>
              <w:left w:val="nil"/>
              <w:bottom w:val="single" w:sz="4" w:space="0" w:color="auto"/>
              <w:right w:val="single" w:sz="4" w:space="0" w:color="auto"/>
            </w:tcBorders>
            <w:shd w:val="clear" w:color="auto" w:fill="auto"/>
            <w:vAlign w:val="center"/>
            <w:hideMark/>
          </w:tcPr>
          <w:p w14:paraId="0BB521C5" w14:textId="77777777" w:rsidR="00293F62" w:rsidRPr="009548E1" w:rsidRDefault="00293F62" w:rsidP="005C7D38">
            <w:pPr>
              <w:jc w:val="right"/>
              <w:rPr>
                <w:sz w:val="16"/>
                <w:szCs w:val="16"/>
              </w:rPr>
            </w:pPr>
            <w:r w:rsidRPr="009548E1">
              <w:rPr>
                <w:sz w:val="16"/>
                <w:szCs w:val="16"/>
              </w:rPr>
              <w:t>27.036.432,35</w:t>
            </w:r>
          </w:p>
        </w:tc>
      </w:tr>
      <w:tr w:rsidR="00293F62" w:rsidRPr="009548E1" w14:paraId="45002C2B" w14:textId="77777777" w:rsidTr="005C7D3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0AA5B4" w14:textId="77777777" w:rsidR="00293F62" w:rsidRPr="009548E1" w:rsidRDefault="00293F62" w:rsidP="005C7D38">
            <w:pPr>
              <w:jc w:val="center"/>
              <w:rPr>
                <w:sz w:val="16"/>
                <w:szCs w:val="16"/>
              </w:rPr>
            </w:pPr>
            <w:r w:rsidRPr="009548E1">
              <w:rPr>
                <w:sz w:val="16"/>
                <w:szCs w:val="16"/>
              </w:rPr>
              <w:t>2</w:t>
            </w:r>
            <w:r>
              <w:rPr>
                <w:sz w:val="16"/>
                <w:szCs w:val="16"/>
              </w:rPr>
              <w:t>.</w:t>
            </w:r>
          </w:p>
        </w:tc>
        <w:tc>
          <w:tcPr>
            <w:tcW w:w="3920" w:type="dxa"/>
            <w:tcBorders>
              <w:top w:val="nil"/>
              <w:left w:val="nil"/>
              <w:bottom w:val="single" w:sz="4" w:space="0" w:color="auto"/>
              <w:right w:val="single" w:sz="4" w:space="0" w:color="auto"/>
            </w:tcBorders>
            <w:shd w:val="clear" w:color="auto" w:fill="auto"/>
            <w:noWrap/>
            <w:vAlign w:val="center"/>
            <w:hideMark/>
          </w:tcPr>
          <w:p w14:paraId="2183D012" w14:textId="77777777" w:rsidR="00293F62" w:rsidRPr="009548E1" w:rsidRDefault="00293F62" w:rsidP="005C7D38">
            <w:pPr>
              <w:rPr>
                <w:sz w:val="16"/>
                <w:szCs w:val="16"/>
              </w:rPr>
            </w:pPr>
            <w:r>
              <w:rPr>
                <w:sz w:val="16"/>
                <w:szCs w:val="16"/>
              </w:rPr>
              <w:t>IDA</w:t>
            </w:r>
          </w:p>
        </w:tc>
        <w:tc>
          <w:tcPr>
            <w:tcW w:w="1960" w:type="dxa"/>
            <w:tcBorders>
              <w:top w:val="nil"/>
              <w:left w:val="nil"/>
              <w:bottom w:val="single" w:sz="4" w:space="0" w:color="auto"/>
              <w:right w:val="single" w:sz="4" w:space="0" w:color="auto"/>
            </w:tcBorders>
            <w:shd w:val="clear" w:color="auto" w:fill="auto"/>
            <w:vAlign w:val="center"/>
            <w:hideMark/>
          </w:tcPr>
          <w:p w14:paraId="58D208AC" w14:textId="77777777" w:rsidR="00293F62" w:rsidRPr="009548E1" w:rsidRDefault="00293F62" w:rsidP="005C7D38">
            <w:pPr>
              <w:jc w:val="center"/>
              <w:rPr>
                <w:sz w:val="16"/>
                <w:szCs w:val="16"/>
              </w:rPr>
            </w:pPr>
            <w:r w:rsidRPr="009548E1">
              <w:rPr>
                <w:sz w:val="16"/>
                <w:szCs w:val="16"/>
              </w:rPr>
              <w:t>USD</w:t>
            </w:r>
          </w:p>
        </w:tc>
        <w:tc>
          <w:tcPr>
            <w:tcW w:w="1540" w:type="dxa"/>
            <w:tcBorders>
              <w:top w:val="nil"/>
              <w:left w:val="nil"/>
              <w:bottom w:val="single" w:sz="4" w:space="0" w:color="auto"/>
              <w:right w:val="single" w:sz="4" w:space="0" w:color="auto"/>
            </w:tcBorders>
            <w:shd w:val="clear" w:color="auto" w:fill="auto"/>
            <w:vAlign w:val="center"/>
            <w:hideMark/>
          </w:tcPr>
          <w:p w14:paraId="0CA388ED" w14:textId="77777777" w:rsidR="00293F62" w:rsidRPr="009548E1" w:rsidRDefault="00293F62" w:rsidP="005C7D38">
            <w:pPr>
              <w:jc w:val="right"/>
              <w:rPr>
                <w:sz w:val="16"/>
                <w:szCs w:val="16"/>
              </w:rPr>
            </w:pPr>
            <w:r w:rsidRPr="009548E1">
              <w:rPr>
                <w:sz w:val="16"/>
                <w:szCs w:val="16"/>
              </w:rPr>
              <w:t>6.932.503,00</w:t>
            </w:r>
          </w:p>
        </w:tc>
        <w:tc>
          <w:tcPr>
            <w:tcW w:w="1540" w:type="dxa"/>
            <w:tcBorders>
              <w:top w:val="nil"/>
              <w:left w:val="nil"/>
              <w:bottom w:val="single" w:sz="4" w:space="0" w:color="auto"/>
              <w:right w:val="single" w:sz="4" w:space="0" w:color="auto"/>
            </w:tcBorders>
            <w:shd w:val="clear" w:color="auto" w:fill="auto"/>
            <w:vAlign w:val="center"/>
            <w:hideMark/>
          </w:tcPr>
          <w:p w14:paraId="78C8A8C9" w14:textId="77777777" w:rsidR="00293F62" w:rsidRPr="009548E1" w:rsidRDefault="00293F62" w:rsidP="005C7D38">
            <w:pPr>
              <w:jc w:val="right"/>
              <w:rPr>
                <w:sz w:val="16"/>
                <w:szCs w:val="16"/>
              </w:rPr>
            </w:pPr>
            <w:r w:rsidRPr="009548E1">
              <w:rPr>
                <w:sz w:val="16"/>
                <w:szCs w:val="16"/>
              </w:rPr>
              <w:t>6.273.758,37</w:t>
            </w:r>
          </w:p>
        </w:tc>
      </w:tr>
      <w:tr w:rsidR="00293F62" w:rsidRPr="009548E1" w14:paraId="475863CE" w14:textId="77777777" w:rsidTr="005C7D3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AB3EEB" w14:textId="77777777" w:rsidR="00293F62" w:rsidRPr="009548E1" w:rsidRDefault="00293F62" w:rsidP="005C7D38">
            <w:pPr>
              <w:jc w:val="center"/>
              <w:rPr>
                <w:sz w:val="16"/>
                <w:szCs w:val="16"/>
              </w:rPr>
            </w:pPr>
            <w:r w:rsidRPr="009548E1">
              <w:rPr>
                <w:sz w:val="16"/>
                <w:szCs w:val="16"/>
              </w:rPr>
              <w:t>3</w:t>
            </w:r>
            <w:r>
              <w:rPr>
                <w:sz w:val="16"/>
                <w:szCs w:val="16"/>
              </w:rPr>
              <w:t>.</w:t>
            </w:r>
          </w:p>
        </w:tc>
        <w:tc>
          <w:tcPr>
            <w:tcW w:w="3920" w:type="dxa"/>
            <w:tcBorders>
              <w:top w:val="nil"/>
              <w:left w:val="nil"/>
              <w:bottom w:val="single" w:sz="4" w:space="0" w:color="auto"/>
              <w:right w:val="single" w:sz="4" w:space="0" w:color="auto"/>
            </w:tcBorders>
            <w:shd w:val="clear" w:color="auto" w:fill="auto"/>
            <w:noWrap/>
            <w:vAlign w:val="center"/>
            <w:hideMark/>
          </w:tcPr>
          <w:p w14:paraId="6E999A48" w14:textId="77777777" w:rsidR="00293F62" w:rsidRPr="009548E1" w:rsidRDefault="00293F62" w:rsidP="005C7D38">
            <w:pPr>
              <w:rPr>
                <w:sz w:val="16"/>
                <w:szCs w:val="16"/>
              </w:rPr>
            </w:pPr>
            <w:r w:rsidRPr="009548E1">
              <w:rPr>
                <w:sz w:val="16"/>
                <w:szCs w:val="16"/>
              </w:rPr>
              <w:t>IFC</w:t>
            </w:r>
          </w:p>
        </w:tc>
        <w:tc>
          <w:tcPr>
            <w:tcW w:w="1960" w:type="dxa"/>
            <w:tcBorders>
              <w:top w:val="nil"/>
              <w:left w:val="nil"/>
              <w:bottom w:val="single" w:sz="4" w:space="0" w:color="auto"/>
              <w:right w:val="single" w:sz="4" w:space="0" w:color="auto"/>
            </w:tcBorders>
            <w:shd w:val="clear" w:color="auto" w:fill="auto"/>
            <w:noWrap/>
            <w:vAlign w:val="center"/>
            <w:hideMark/>
          </w:tcPr>
          <w:p w14:paraId="15C09EFD" w14:textId="77777777" w:rsidR="00293F62" w:rsidRPr="009548E1" w:rsidRDefault="00293F62" w:rsidP="005C7D38">
            <w:pPr>
              <w:jc w:val="center"/>
              <w:rPr>
                <w:sz w:val="16"/>
                <w:szCs w:val="16"/>
              </w:rPr>
            </w:pPr>
            <w:r w:rsidRPr="009548E1">
              <w:rPr>
                <w:sz w:val="16"/>
                <w:szCs w:val="16"/>
              </w:rPr>
              <w:t>USD</w:t>
            </w:r>
          </w:p>
        </w:tc>
        <w:tc>
          <w:tcPr>
            <w:tcW w:w="1540" w:type="dxa"/>
            <w:tcBorders>
              <w:top w:val="nil"/>
              <w:left w:val="nil"/>
              <w:bottom w:val="single" w:sz="4" w:space="0" w:color="auto"/>
              <w:right w:val="single" w:sz="4" w:space="0" w:color="auto"/>
            </w:tcBorders>
            <w:shd w:val="clear" w:color="auto" w:fill="auto"/>
            <w:noWrap/>
            <w:vAlign w:val="center"/>
            <w:hideMark/>
          </w:tcPr>
          <w:p w14:paraId="19A019DE" w14:textId="77777777" w:rsidR="00293F62" w:rsidRPr="009548E1" w:rsidRDefault="00293F62" w:rsidP="005C7D38">
            <w:pPr>
              <w:jc w:val="right"/>
              <w:rPr>
                <w:sz w:val="16"/>
                <w:szCs w:val="16"/>
              </w:rPr>
            </w:pPr>
            <w:r w:rsidRPr="009548E1">
              <w:rPr>
                <w:sz w:val="16"/>
                <w:szCs w:val="16"/>
              </w:rPr>
              <w:t>27.614.000,00</w:t>
            </w:r>
          </w:p>
        </w:tc>
        <w:tc>
          <w:tcPr>
            <w:tcW w:w="1540" w:type="dxa"/>
            <w:tcBorders>
              <w:top w:val="nil"/>
              <w:left w:val="nil"/>
              <w:bottom w:val="single" w:sz="4" w:space="0" w:color="auto"/>
              <w:right w:val="single" w:sz="4" w:space="0" w:color="auto"/>
            </w:tcBorders>
            <w:shd w:val="clear" w:color="auto" w:fill="auto"/>
            <w:vAlign w:val="center"/>
            <w:hideMark/>
          </w:tcPr>
          <w:p w14:paraId="2E0D17D7" w14:textId="77777777" w:rsidR="00293F62" w:rsidRPr="009548E1" w:rsidRDefault="00293F62" w:rsidP="005C7D38">
            <w:pPr>
              <w:jc w:val="right"/>
              <w:rPr>
                <w:sz w:val="16"/>
                <w:szCs w:val="16"/>
              </w:rPr>
            </w:pPr>
            <w:r w:rsidRPr="009548E1">
              <w:rPr>
                <w:sz w:val="16"/>
                <w:szCs w:val="16"/>
              </w:rPr>
              <w:t>24.990.045,25</w:t>
            </w:r>
          </w:p>
        </w:tc>
      </w:tr>
      <w:tr w:rsidR="00293F62" w:rsidRPr="009548E1" w14:paraId="45D0B909" w14:textId="77777777" w:rsidTr="005C7D3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F9A15E" w14:textId="77777777" w:rsidR="00293F62" w:rsidRPr="009548E1" w:rsidRDefault="00293F62" w:rsidP="005C7D38">
            <w:pPr>
              <w:jc w:val="center"/>
              <w:rPr>
                <w:sz w:val="16"/>
                <w:szCs w:val="16"/>
              </w:rPr>
            </w:pPr>
            <w:r w:rsidRPr="009548E1">
              <w:rPr>
                <w:sz w:val="16"/>
                <w:szCs w:val="16"/>
              </w:rPr>
              <w:t>4</w:t>
            </w:r>
            <w:r>
              <w:rPr>
                <w:sz w:val="16"/>
                <w:szCs w:val="16"/>
              </w:rPr>
              <w:t>.</w:t>
            </w:r>
          </w:p>
        </w:tc>
        <w:tc>
          <w:tcPr>
            <w:tcW w:w="3920" w:type="dxa"/>
            <w:tcBorders>
              <w:top w:val="nil"/>
              <w:left w:val="nil"/>
              <w:bottom w:val="single" w:sz="4" w:space="0" w:color="auto"/>
              <w:right w:val="single" w:sz="4" w:space="0" w:color="auto"/>
            </w:tcBorders>
            <w:shd w:val="clear" w:color="auto" w:fill="auto"/>
            <w:noWrap/>
            <w:vAlign w:val="center"/>
            <w:hideMark/>
          </w:tcPr>
          <w:p w14:paraId="17B04A39" w14:textId="77777777" w:rsidR="00293F62" w:rsidRPr="009548E1" w:rsidRDefault="00293F62" w:rsidP="005C7D38">
            <w:pPr>
              <w:rPr>
                <w:sz w:val="16"/>
                <w:szCs w:val="16"/>
              </w:rPr>
            </w:pPr>
            <w:r w:rsidRPr="009548E1">
              <w:rPr>
                <w:sz w:val="16"/>
                <w:szCs w:val="16"/>
              </w:rPr>
              <w:t>MIGA</w:t>
            </w:r>
          </w:p>
        </w:tc>
        <w:tc>
          <w:tcPr>
            <w:tcW w:w="1960" w:type="dxa"/>
            <w:tcBorders>
              <w:top w:val="nil"/>
              <w:left w:val="nil"/>
              <w:bottom w:val="single" w:sz="4" w:space="0" w:color="auto"/>
              <w:right w:val="single" w:sz="4" w:space="0" w:color="auto"/>
            </w:tcBorders>
            <w:shd w:val="clear" w:color="auto" w:fill="auto"/>
            <w:noWrap/>
            <w:vAlign w:val="center"/>
            <w:hideMark/>
          </w:tcPr>
          <w:p w14:paraId="611C3396" w14:textId="77777777" w:rsidR="00293F62" w:rsidRPr="009548E1" w:rsidRDefault="00293F62" w:rsidP="005C7D38">
            <w:pPr>
              <w:jc w:val="center"/>
              <w:rPr>
                <w:sz w:val="16"/>
                <w:szCs w:val="16"/>
              </w:rPr>
            </w:pPr>
            <w:r w:rsidRPr="009548E1">
              <w:rPr>
                <w:sz w:val="16"/>
                <w:szCs w:val="16"/>
              </w:rPr>
              <w:t>USD</w:t>
            </w:r>
          </w:p>
        </w:tc>
        <w:tc>
          <w:tcPr>
            <w:tcW w:w="1540" w:type="dxa"/>
            <w:tcBorders>
              <w:top w:val="nil"/>
              <w:left w:val="nil"/>
              <w:bottom w:val="single" w:sz="4" w:space="0" w:color="auto"/>
              <w:right w:val="single" w:sz="4" w:space="0" w:color="auto"/>
            </w:tcBorders>
            <w:shd w:val="clear" w:color="auto" w:fill="auto"/>
            <w:noWrap/>
            <w:vAlign w:val="center"/>
            <w:hideMark/>
          </w:tcPr>
          <w:p w14:paraId="11F3FB41" w14:textId="77777777" w:rsidR="00293F62" w:rsidRPr="009548E1" w:rsidRDefault="00293F62" w:rsidP="005C7D38">
            <w:pPr>
              <w:jc w:val="right"/>
              <w:rPr>
                <w:sz w:val="16"/>
                <w:szCs w:val="16"/>
              </w:rPr>
            </w:pPr>
            <w:r w:rsidRPr="009548E1">
              <w:rPr>
                <w:sz w:val="16"/>
                <w:szCs w:val="16"/>
              </w:rPr>
              <w:t>677.759,00</w:t>
            </w:r>
          </w:p>
        </w:tc>
        <w:tc>
          <w:tcPr>
            <w:tcW w:w="1540" w:type="dxa"/>
            <w:tcBorders>
              <w:top w:val="nil"/>
              <w:left w:val="nil"/>
              <w:bottom w:val="single" w:sz="4" w:space="0" w:color="auto"/>
              <w:right w:val="single" w:sz="4" w:space="0" w:color="auto"/>
            </w:tcBorders>
            <w:shd w:val="clear" w:color="auto" w:fill="auto"/>
            <w:vAlign w:val="center"/>
            <w:hideMark/>
          </w:tcPr>
          <w:p w14:paraId="57FAA675" w14:textId="77777777" w:rsidR="00293F62" w:rsidRPr="009548E1" w:rsidRDefault="00293F62" w:rsidP="005C7D38">
            <w:pPr>
              <w:jc w:val="right"/>
              <w:rPr>
                <w:sz w:val="16"/>
                <w:szCs w:val="16"/>
              </w:rPr>
            </w:pPr>
            <w:r w:rsidRPr="009548E1">
              <w:rPr>
                <w:sz w:val="16"/>
                <w:szCs w:val="16"/>
              </w:rPr>
              <w:t>613.356,56</w:t>
            </w:r>
          </w:p>
        </w:tc>
      </w:tr>
      <w:tr w:rsidR="00293F62" w:rsidRPr="009548E1" w14:paraId="012D8CDB" w14:textId="77777777" w:rsidTr="005C7D3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5762A3" w14:textId="77777777" w:rsidR="00293F62" w:rsidRPr="009548E1" w:rsidRDefault="00293F62" w:rsidP="005C7D38">
            <w:pPr>
              <w:jc w:val="center"/>
              <w:rPr>
                <w:sz w:val="16"/>
                <w:szCs w:val="16"/>
              </w:rPr>
            </w:pPr>
            <w:r w:rsidRPr="009548E1">
              <w:rPr>
                <w:sz w:val="16"/>
                <w:szCs w:val="16"/>
              </w:rPr>
              <w:t>5</w:t>
            </w:r>
            <w:r>
              <w:rPr>
                <w:sz w:val="16"/>
                <w:szCs w:val="16"/>
              </w:rPr>
              <w:t>.</w:t>
            </w:r>
          </w:p>
        </w:tc>
        <w:tc>
          <w:tcPr>
            <w:tcW w:w="3920" w:type="dxa"/>
            <w:tcBorders>
              <w:top w:val="nil"/>
              <w:left w:val="nil"/>
              <w:bottom w:val="single" w:sz="4" w:space="0" w:color="auto"/>
              <w:right w:val="single" w:sz="4" w:space="0" w:color="auto"/>
            </w:tcBorders>
            <w:shd w:val="clear" w:color="auto" w:fill="auto"/>
            <w:noWrap/>
            <w:vAlign w:val="center"/>
            <w:hideMark/>
          </w:tcPr>
          <w:p w14:paraId="7A6FF548" w14:textId="77777777" w:rsidR="00293F62" w:rsidRPr="009548E1" w:rsidRDefault="00293F62" w:rsidP="005C7D38">
            <w:pPr>
              <w:rPr>
                <w:sz w:val="16"/>
                <w:szCs w:val="16"/>
              </w:rPr>
            </w:pPr>
            <w:r w:rsidRPr="009548E1">
              <w:rPr>
                <w:sz w:val="16"/>
                <w:szCs w:val="16"/>
              </w:rPr>
              <w:t>EIB</w:t>
            </w:r>
          </w:p>
        </w:tc>
        <w:tc>
          <w:tcPr>
            <w:tcW w:w="1960" w:type="dxa"/>
            <w:tcBorders>
              <w:top w:val="nil"/>
              <w:left w:val="nil"/>
              <w:bottom w:val="single" w:sz="4" w:space="0" w:color="auto"/>
              <w:right w:val="single" w:sz="4" w:space="0" w:color="auto"/>
            </w:tcBorders>
            <w:shd w:val="clear" w:color="auto" w:fill="auto"/>
            <w:noWrap/>
            <w:vAlign w:val="center"/>
            <w:hideMark/>
          </w:tcPr>
          <w:p w14:paraId="3421C4EA" w14:textId="77777777" w:rsidR="00293F62" w:rsidRPr="009548E1" w:rsidRDefault="00293F62" w:rsidP="005C7D38">
            <w:pPr>
              <w:jc w:val="center"/>
              <w:rPr>
                <w:sz w:val="16"/>
                <w:szCs w:val="16"/>
              </w:rPr>
            </w:pPr>
            <w:r w:rsidRPr="009548E1">
              <w:rPr>
                <w:sz w:val="16"/>
                <w:szCs w:val="16"/>
              </w:rPr>
              <w:t>EUR</w:t>
            </w:r>
          </w:p>
        </w:tc>
        <w:tc>
          <w:tcPr>
            <w:tcW w:w="1540" w:type="dxa"/>
            <w:tcBorders>
              <w:top w:val="nil"/>
              <w:left w:val="nil"/>
              <w:bottom w:val="single" w:sz="4" w:space="0" w:color="auto"/>
              <w:right w:val="single" w:sz="4" w:space="0" w:color="auto"/>
            </w:tcBorders>
            <w:shd w:val="clear" w:color="auto" w:fill="auto"/>
            <w:noWrap/>
            <w:vAlign w:val="center"/>
            <w:hideMark/>
          </w:tcPr>
          <w:p w14:paraId="0E8C254B" w14:textId="77777777" w:rsidR="00293F62" w:rsidRPr="009548E1" w:rsidRDefault="00293F62" w:rsidP="005C7D38">
            <w:pPr>
              <w:jc w:val="right"/>
              <w:rPr>
                <w:sz w:val="16"/>
                <w:szCs w:val="16"/>
              </w:rPr>
            </w:pPr>
            <w:r w:rsidRPr="009548E1">
              <w:rPr>
                <w:sz w:val="16"/>
                <w:szCs w:val="16"/>
              </w:rPr>
              <w:t>94.750.368,00</w:t>
            </w:r>
          </w:p>
        </w:tc>
        <w:tc>
          <w:tcPr>
            <w:tcW w:w="1540" w:type="dxa"/>
            <w:tcBorders>
              <w:top w:val="nil"/>
              <w:left w:val="nil"/>
              <w:bottom w:val="single" w:sz="4" w:space="0" w:color="auto"/>
              <w:right w:val="single" w:sz="4" w:space="0" w:color="auto"/>
            </w:tcBorders>
            <w:shd w:val="clear" w:color="auto" w:fill="auto"/>
            <w:vAlign w:val="center"/>
            <w:hideMark/>
          </w:tcPr>
          <w:p w14:paraId="317F7162" w14:textId="77777777" w:rsidR="00293F62" w:rsidRPr="009548E1" w:rsidRDefault="00293F62" w:rsidP="005C7D38">
            <w:pPr>
              <w:jc w:val="right"/>
              <w:rPr>
                <w:sz w:val="16"/>
                <w:szCs w:val="16"/>
              </w:rPr>
            </w:pPr>
            <w:r w:rsidRPr="009548E1">
              <w:rPr>
                <w:sz w:val="16"/>
                <w:szCs w:val="16"/>
              </w:rPr>
              <w:t>94.750.368,00</w:t>
            </w:r>
          </w:p>
        </w:tc>
      </w:tr>
      <w:tr w:rsidR="00293F62" w:rsidRPr="009548E1" w14:paraId="76736488" w14:textId="77777777" w:rsidTr="005C7D3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814F47" w14:textId="77777777" w:rsidR="00293F62" w:rsidRPr="009548E1" w:rsidRDefault="00293F62" w:rsidP="005C7D38">
            <w:pPr>
              <w:jc w:val="center"/>
              <w:rPr>
                <w:sz w:val="16"/>
                <w:szCs w:val="16"/>
              </w:rPr>
            </w:pPr>
            <w:r w:rsidRPr="009548E1">
              <w:rPr>
                <w:sz w:val="16"/>
                <w:szCs w:val="16"/>
              </w:rPr>
              <w:t>6</w:t>
            </w:r>
            <w:r>
              <w:rPr>
                <w:sz w:val="16"/>
                <w:szCs w:val="16"/>
              </w:rPr>
              <w:t>.</w:t>
            </w:r>
          </w:p>
        </w:tc>
        <w:tc>
          <w:tcPr>
            <w:tcW w:w="3920" w:type="dxa"/>
            <w:tcBorders>
              <w:top w:val="nil"/>
              <w:left w:val="nil"/>
              <w:bottom w:val="single" w:sz="4" w:space="0" w:color="auto"/>
              <w:right w:val="single" w:sz="4" w:space="0" w:color="auto"/>
            </w:tcBorders>
            <w:shd w:val="clear" w:color="auto" w:fill="auto"/>
            <w:noWrap/>
            <w:vAlign w:val="center"/>
            <w:hideMark/>
          </w:tcPr>
          <w:p w14:paraId="3ACB2698" w14:textId="77777777" w:rsidR="00293F62" w:rsidRPr="009548E1" w:rsidRDefault="00293F62" w:rsidP="005C7D38">
            <w:pPr>
              <w:rPr>
                <w:sz w:val="16"/>
                <w:szCs w:val="16"/>
              </w:rPr>
            </w:pPr>
            <w:r w:rsidRPr="009548E1">
              <w:rPr>
                <w:sz w:val="16"/>
                <w:szCs w:val="16"/>
              </w:rPr>
              <w:t>EBRD</w:t>
            </w:r>
          </w:p>
        </w:tc>
        <w:tc>
          <w:tcPr>
            <w:tcW w:w="1960" w:type="dxa"/>
            <w:tcBorders>
              <w:top w:val="nil"/>
              <w:left w:val="nil"/>
              <w:bottom w:val="single" w:sz="4" w:space="0" w:color="auto"/>
              <w:right w:val="single" w:sz="4" w:space="0" w:color="auto"/>
            </w:tcBorders>
            <w:shd w:val="clear" w:color="auto" w:fill="auto"/>
            <w:noWrap/>
            <w:vAlign w:val="center"/>
            <w:hideMark/>
          </w:tcPr>
          <w:p w14:paraId="1E946552" w14:textId="77777777" w:rsidR="00293F62" w:rsidRPr="009548E1" w:rsidRDefault="00293F62" w:rsidP="005C7D38">
            <w:pPr>
              <w:jc w:val="center"/>
              <w:rPr>
                <w:sz w:val="16"/>
                <w:szCs w:val="16"/>
              </w:rPr>
            </w:pPr>
            <w:r w:rsidRPr="009548E1">
              <w:rPr>
                <w:sz w:val="16"/>
                <w:szCs w:val="16"/>
              </w:rPr>
              <w:t>EUR</w:t>
            </w:r>
          </w:p>
        </w:tc>
        <w:tc>
          <w:tcPr>
            <w:tcW w:w="1540" w:type="dxa"/>
            <w:tcBorders>
              <w:top w:val="nil"/>
              <w:left w:val="nil"/>
              <w:bottom w:val="single" w:sz="4" w:space="0" w:color="auto"/>
              <w:right w:val="single" w:sz="4" w:space="0" w:color="auto"/>
            </w:tcBorders>
            <w:shd w:val="clear" w:color="auto" w:fill="auto"/>
            <w:noWrap/>
            <w:vAlign w:val="center"/>
            <w:hideMark/>
          </w:tcPr>
          <w:p w14:paraId="3DFFB4EF" w14:textId="77777777" w:rsidR="00293F62" w:rsidRPr="009548E1" w:rsidRDefault="00293F62" w:rsidP="005C7D38">
            <w:pPr>
              <w:jc w:val="right"/>
              <w:rPr>
                <w:sz w:val="16"/>
                <w:szCs w:val="16"/>
              </w:rPr>
            </w:pPr>
            <w:r w:rsidRPr="009548E1">
              <w:rPr>
                <w:sz w:val="16"/>
                <w:szCs w:val="16"/>
              </w:rPr>
              <w:t>22.820.000,00</w:t>
            </w:r>
          </w:p>
        </w:tc>
        <w:tc>
          <w:tcPr>
            <w:tcW w:w="1540" w:type="dxa"/>
            <w:tcBorders>
              <w:top w:val="nil"/>
              <w:left w:val="nil"/>
              <w:bottom w:val="single" w:sz="4" w:space="0" w:color="auto"/>
              <w:right w:val="single" w:sz="4" w:space="0" w:color="auto"/>
            </w:tcBorders>
            <w:shd w:val="clear" w:color="auto" w:fill="auto"/>
            <w:noWrap/>
            <w:vAlign w:val="center"/>
            <w:hideMark/>
          </w:tcPr>
          <w:p w14:paraId="15CD0CDE" w14:textId="77777777" w:rsidR="00293F62" w:rsidRPr="009548E1" w:rsidRDefault="00293F62" w:rsidP="005C7D38">
            <w:pPr>
              <w:jc w:val="right"/>
              <w:rPr>
                <w:sz w:val="16"/>
                <w:szCs w:val="16"/>
              </w:rPr>
            </w:pPr>
            <w:r w:rsidRPr="009548E1">
              <w:rPr>
                <w:sz w:val="16"/>
                <w:szCs w:val="16"/>
              </w:rPr>
              <w:t>22.820.000,00</w:t>
            </w:r>
          </w:p>
        </w:tc>
      </w:tr>
      <w:tr w:rsidR="00293F62" w:rsidRPr="009548E1" w14:paraId="77717890" w14:textId="77777777" w:rsidTr="005C7D3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E4A4F9" w14:textId="77777777" w:rsidR="00293F62" w:rsidRPr="009548E1" w:rsidRDefault="00293F62" w:rsidP="005C7D38">
            <w:pPr>
              <w:jc w:val="center"/>
              <w:rPr>
                <w:sz w:val="16"/>
                <w:szCs w:val="16"/>
              </w:rPr>
            </w:pPr>
            <w:r w:rsidRPr="009548E1">
              <w:rPr>
                <w:sz w:val="16"/>
                <w:szCs w:val="16"/>
              </w:rPr>
              <w:t>7</w:t>
            </w:r>
            <w:r>
              <w:rPr>
                <w:sz w:val="16"/>
                <w:szCs w:val="16"/>
              </w:rPr>
              <w:t>.</w:t>
            </w:r>
          </w:p>
        </w:tc>
        <w:tc>
          <w:tcPr>
            <w:tcW w:w="3920" w:type="dxa"/>
            <w:tcBorders>
              <w:top w:val="nil"/>
              <w:left w:val="nil"/>
              <w:bottom w:val="single" w:sz="4" w:space="0" w:color="auto"/>
              <w:right w:val="single" w:sz="4" w:space="0" w:color="auto"/>
            </w:tcBorders>
            <w:shd w:val="clear" w:color="auto" w:fill="auto"/>
            <w:noWrap/>
            <w:vAlign w:val="center"/>
            <w:hideMark/>
          </w:tcPr>
          <w:p w14:paraId="3599D021" w14:textId="77777777" w:rsidR="00293F62" w:rsidRPr="009548E1" w:rsidRDefault="00293F62" w:rsidP="005C7D38">
            <w:pPr>
              <w:rPr>
                <w:sz w:val="16"/>
                <w:szCs w:val="16"/>
              </w:rPr>
            </w:pPr>
            <w:r w:rsidRPr="009548E1">
              <w:rPr>
                <w:sz w:val="16"/>
                <w:szCs w:val="16"/>
              </w:rPr>
              <w:t>CEB</w:t>
            </w:r>
          </w:p>
        </w:tc>
        <w:tc>
          <w:tcPr>
            <w:tcW w:w="1960" w:type="dxa"/>
            <w:tcBorders>
              <w:top w:val="nil"/>
              <w:left w:val="nil"/>
              <w:bottom w:val="single" w:sz="4" w:space="0" w:color="auto"/>
              <w:right w:val="single" w:sz="4" w:space="0" w:color="auto"/>
            </w:tcBorders>
            <w:shd w:val="clear" w:color="auto" w:fill="auto"/>
            <w:noWrap/>
            <w:vAlign w:val="center"/>
            <w:hideMark/>
          </w:tcPr>
          <w:p w14:paraId="68D25C80" w14:textId="77777777" w:rsidR="00293F62" w:rsidRPr="009548E1" w:rsidRDefault="00293F62" w:rsidP="005C7D38">
            <w:pPr>
              <w:jc w:val="center"/>
              <w:rPr>
                <w:sz w:val="16"/>
                <w:szCs w:val="16"/>
              </w:rPr>
            </w:pPr>
            <w:r w:rsidRPr="009548E1">
              <w:rPr>
                <w:sz w:val="16"/>
                <w:szCs w:val="16"/>
              </w:rPr>
              <w:t>EUR</w:t>
            </w:r>
          </w:p>
        </w:tc>
        <w:tc>
          <w:tcPr>
            <w:tcW w:w="1540" w:type="dxa"/>
            <w:tcBorders>
              <w:top w:val="nil"/>
              <w:left w:val="nil"/>
              <w:bottom w:val="single" w:sz="4" w:space="0" w:color="auto"/>
              <w:right w:val="single" w:sz="4" w:space="0" w:color="auto"/>
            </w:tcBorders>
            <w:shd w:val="clear" w:color="auto" w:fill="auto"/>
            <w:noWrap/>
            <w:vAlign w:val="center"/>
            <w:hideMark/>
          </w:tcPr>
          <w:p w14:paraId="69338485" w14:textId="77777777" w:rsidR="00293F62" w:rsidRPr="009548E1" w:rsidRDefault="00293F62" w:rsidP="005C7D38">
            <w:pPr>
              <w:jc w:val="right"/>
              <w:rPr>
                <w:sz w:val="16"/>
                <w:szCs w:val="16"/>
              </w:rPr>
            </w:pPr>
            <w:r w:rsidRPr="009548E1">
              <w:rPr>
                <w:sz w:val="16"/>
                <w:szCs w:val="16"/>
              </w:rPr>
              <w:t>2.372.578,00</w:t>
            </w:r>
          </w:p>
        </w:tc>
        <w:tc>
          <w:tcPr>
            <w:tcW w:w="1540" w:type="dxa"/>
            <w:tcBorders>
              <w:top w:val="nil"/>
              <w:left w:val="nil"/>
              <w:bottom w:val="single" w:sz="4" w:space="0" w:color="auto"/>
              <w:right w:val="single" w:sz="4" w:space="0" w:color="auto"/>
            </w:tcBorders>
            <w:shd w:val="clear" w:color="auto" w:fill="auto"/>
            <w:noWrap/>
            <w:vAlign w:val="center"/>
            <w:hideMark/>
          </w:tcPr>
          <w:p w14:paraId="786FE357" w14:textId="77777777" w:rsidR="00293F62" w:rsidRPr="009548E1" w:rsidRDefault="00293F62" w:rsidP="005C7D38">
            <w:pPr>
              <w:jc w:val="right"/>
              <w:rPr>
                <w:sz w:val="16"/>
                <w:szCs w:val="16"/>
              </w:rPr>
            </w:pPr>
            <w:r w:rsidRPr="009548E1">
              <w:rPr>
                <w:sz w:val="16"/>
                <w:szCs w:val="16"/>
              </w:rPr>
              <w:t>2.372.578,00</w:t>
            </w:r>
          </w:p>
        </w:tc>
      </w:tr>
      <w:tr w:rsidR="00293F62" w:rsidRPr="009548E1" w14:paraId="5A3855BF" w14:textId="77777777" w:rsidTr="005C7D3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2B252C" w14:textId="77777777" w:rsidR="00293F62" w:rsidRPr="009548E1" w:rsidRDefault="00293F62" w:rsidP="005C7D38">
            <w:pPr>
              <w:jc w:val="center"/>
              <w:rPr>
                <w:sz w:val="16"/>
                <w:szCs w:val="16"/>
              </w:rPr>
            </w:pPr>
            <w:r w:rsidRPr="009548E1">
              <w:rPr>
                <w:sz w:val="16"/>
                <w:szCs w:val="16"/>
              </w:rPr>
              <w:t>8</w:t>
            </w:r>
            <w:r>
              <w:rPr>
                <w:sz w:val="16"/>
                <w:szCs w:val="16"/>
              </w:rPr>
              <w:t>.</w:t>
            </w:r>
          </w:p>
        </w:tc>
        <w:tc>
          <w:tcPr>
            <w:tcW w:w="3920" w:type="dxa"/>
            <w:tcBorders>
              <w:top w:val="nil"/>
              <w:left w:val="nil"/>
              <w:bottom w:val="nil"/>
              <w:right w:val="single" w:sz="4" w:space="0" w:color="auto"/>
            </w:tcBorders>
            <w:shd w:val="clear" w:color="auto" w:fill="auto"/>
            <w:noWrap/>
            <w:vAlign w:val="center"/>
            <w:hideMark/>
          </w:tcPr>
          <w:p w14:paraId="2D3DE260" w14:textId="77777777" w:rsidR="00293F62" w:rsidRPr="009548E1" w:rsidRDefault="00293F62" w:rsidP="005C7D38">
            <w:pPr>
              <w:rPr>
                <w:sz w:val="16"/>
                <w:szCs w:val="16"/>
              </w:rPr>
            </w:pPr>
            <w:r w:rsidRPr="009548E1">
              <w:rPr>
                <w:sz w:val="16"/>
                <w:szCs w:val="16"/>
              </w:rPr>
              <w:t>IDB</w:t>
            </w:r>
          </w:p>
        </w:tc>
        <w:tc>
          <w:tcPr>
            <w:tcW w:w="1960" w:type="dxa"/>
            <w:tcBorders>
              <w:top w:val="nil"/>
              <w:left w:val="nil"/>
              <w:bottom w:val="nil"/>
              <w:right w:val="single" w:sz="4" w:space="0" w:color="auto"/>
            </w:tcBorders>
            <w:shd w:val="clear" w:color="auto" w:fill="auto"/>
            <w:noWrap/>
            <w:vAlign w:val="center"/>
            <w:hideMark/>
          </w:tcPr>
          <w:p w14:paraId="3A224B1A" w14:textId="77777777" w:rsidR="00293F62" w:rsidRPr="009548E1" w:rsidRDefault="00293F62" w:rsidP="005C7D38">
            <w:pPr>
              <w:jc w:val="center"/>
              <w:rPr>
                <w:sz w:val="16"/>
                <w:szCs w:val="16"/>
              </w:rPr>
            </w:pPr>
            <w:r w:rsidRPr="009548E1">
              <w:rPr>
                <w:sz w:val="16"/>
                <w:szCs w:val="16"/>
              </w:rPr>
              <w:t>USD</w:t>
            </w:r>
          </w:p>
        </w:tc>
        <w:tc>
          <w:tcPr>
            <w:tcW w:w="1540" w:type="dxa"/>
            <w:tcBorders>
              <w:top w:val="nil"/>
              <w:left w:val="nil"/>
              <w:bottom w:val="nil"/>
              <w:right w:val="single" w:sz="4" w:space="0" w:color="auto"/>
            </w:tcBorders>
            <w:shd w:val="clear" w:color="auto" w:fill="auto"/>
            <w:noWrap/>
            <w:vAlign w:val="center"/>
            <w:hideMark/>
          </w:tcPr>
          <w:p w14:paraId="50A7F032" w14:textId="77777777" w:rsidR="00293F62" w:rsidRPr="009548E1" w:rsidRDefault="00293F62" w:rsidP="005C7D38">
            <w:pPr>
              <w:jc w:val="right"/>
              <w:rPr>
                <w:sz w:val="16"/>
                <w:szCs w:val="16"/>
              </w:rPr>
            </w:pPr>
            <w:r w:rsidRPr="009548E1">
              <w:rPr>
                <w:sz w:val="16"/>
                <w:szCs w:val="16"/>
              </w:rPr>
              <w:t>6.433.232,60</w:t>
            </w:r>
          </w:p>
        </w:tc>
        <w:tc>
          <w:tcPr>
            <w:tcW w:w="1540" w:type="dxa"/>
            <w:tcBorders>
              <w:top w:val="nil"/>
              <w:left w:val="nil"/>
              <w:bottom w:val="nil"/>
              <w:right w:val="single" w:sz="4" w:space="0" w:color="auto"/>
            </w:tcBorders>
            <w:shd w:val="clear" w:color="auto" w:fill="auto"/>
            <w:vAlign w:val="center"/>
            <w:hideMark/>
          </w:tcPr>
          <w:p w14:paraId="55B6A081" w14:textId="77777777" w:rsidR="00293F62" w:rsidRPr="009548E1" w:rsidRDefault="00293F62" w:rsidP="005C7D38">
            <w:pPr>
              <w:jc w:val="right"/>
              <w:rPr>
                <w:sz w:val="16"/>
                <w:szCs w:val="16"/>
              </w:rPr>
            </w:pPr>
            <w:r w:rsidRPr="009548E1">
              <w:rPr>
                <w:sz w:val="16"/>
                <w:szCs w:val="16"/>
              </w:rPr>
              <w:t>5.821.929,95</w:t>
            </w:r>
          </w:p>
        </w:tc>
      </w:tr>
      <w:tr w:rsidR="00293F62" w:rsidRPr="009548E1" w14:paraId="1CF45A47" w14:textId="77777777" w:rsidTr="005C7D3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3E54E8" w14:textId="77777777" w:rsidR="00293F62" w:rsidRPr="009548E1" w:rsidRDefault="00293F62" w:rsidP="005C7D38">
            <w:pPr>
              <w:jc w:val="center"/>
              <w:rPr>
                <w:sz w:val="16"/>
                <w:szCs w:val="16"/>
              </w:rPr>
            </w:pPr>
            <w:r w:rsidRPr="009548E1">
              <w:rPr>
                <w:sz w:val="16"/>
                <w:szCs w:val="16"/>
              </w:rPr>
              <w:t>9</w:t>
            </w:r>
            <w:r>
              <w:rPr>
                <w:sz w:val="16"/>
                <w:szCs w:val="16"/>
              </w:rPr>
              <w:t>.</w:t>
            </w:r>
          </w:p>
        </w:tc>
        <w:tc>
          <w:tcPr>
            <w:tcW w:w="3920" w:type="dxa"/>
            <w:tcBorders>
              <w:top w:val="single" w:sz="4" w:space="0" w:color="auto"/>
              <w:left w:val="nil"/>
              <w:bottom w:val="nil"/>
              <w:right w:val="single" w:sz="4" w:space="0" w:color="auto"/>
            </w:tcBorders>
            <w:shd w:val="clear" w:color="auto" w:fill="auto"/>
            <w:noWrap/>
            <w:vAlign w:val="center"/>
            <w:hideMark/>
          </w:tcPr>
          <w:p w14:paraId="784C1DEC" w14:textId="77777777" w:rsidR="00293F62" w:rsidRPr="009548E1" w:rsidRDefault="00293F62" w:rsidP="005C7D38">
            <w:pPr>
              <w:rPr>
                <w:sz w:val="16"/>
                <w:szCs w:val="16"/>
              </w:rPr>
            </w:pPr>
            <w:r>
              <w:rPr>
                <w:sz w:val="16"/>
                <w:szCs w:val="16"/>
              </w:rPr>
              <w:t>IIC</w:t>
            </w:r>
          </w:p>
        </w:tc>
        <w:tc>
          <w:tcPr>
            <w:tcW w:w="1960" w:type="dxa"/>
            <w:tcBorders>
              <w:top w:val="single" w:sz="4" w:space="0" w:color="auto"/>
              <w:left w:val="nil"/>
              <w:bottom w:val="nil"/>
              <w:right w:val="single" w:sz="4" w:space="0" w:color="auto"/>
            </w:tcBorders>
            <w:shd w:val="clear" w:color="auto" w:fill="auto"/>
            <w:noWrap/>
            <w:vAlign w:val="center"/>
            <w:hideMark/>
          </w:tcPr>
          <w:p w14:paraId="1B24D82E" w14:textId="77777777" w:rsidR="00293F62" w:rsidRPr="009548E1" w:rsidRDefault="00293F62" w:rsidP="005C7D38">
            <w:pPr>
              <w:jc w:val="center"/>
              <w:rPr>
                <w:sz w:val="16"/>
                <w:szCs w:val="16"/>
              </w:rPr>
            </w:pPr>
            <w:r w:rsidRPr="009548E1">
              <w:rPr>
                <w:sz w:val="16"/>
                <w:szCs w:val="16"/>
              </w:rPr>
              <w:t>USD</w:t>
            </w:r>
          </w:p>
        </w:tc>
        <w:tc>
          <w:tcPr>
            <w:tcW w:w="1540" w:type="dxa"/>
            <w:tcBorders>
              <w:top w:val="single" w:sz="4" w:space="0" w:color="auto"/>
              <w:left w:val="nil"/>
              <w:bottom w:val="nil"/>
              <w:right w:val="single" w:sz="4" w:space="0" w:color="auto"/>
            </w:tcBorders>
            <w:shd w:val="clear" w:color="auto" w:fill="auto"/>
            <w:noWrap/>
            <w:vAlign w:val="center"/>
            <w:hideMark/>
          </w:tcPr>
          <w:p w14:paraId="6F86107C" w14:textId="77777777" w:rsidR="00293F62" w:rsidRPr="009548E1" w:rsidRDefault="00293F62" w:rsidP="005C7D38">
            <w:pPr>
              <w:jc w:val="right"/>
              <w:rPr>
                <w:sz w:val="16"/>
                <w:szCs w:val="16"/>
              </w:rPr>
            </w:pPr>
            <w:r w:rsidRPr="009548E1">
              <w:rPr>
                <w:sz w:val="16"/>
                <w:szCs w:val="16"/>
              </w:rPr>
              <w:t>283.194,03</w:t>
            </w:r>
          </w:p>
        </w:tc>
        <w:tc>
          <w:tcPr>
            <w:tcW w:w="1540" w:type="dxa"/>
            <w:tcBorders>
              <w:top w:val="single" w:sz="4" w:space="0" w:color="auto"/>
              <w:left w:val="nil"/>
              <w:bottom w:val="nil"/>
              <w:right w:val="single" w:sz="4" w:space="0" w:color="auto"/>
            </w:tcBorders>
            <w:shd w:val="clear" w:color="auto" w:fill="auto"/>
            <w:vAlign w:val="center"/>
            <w:hideMark/>
          </w:tcPr>
          <w:p w14:paraId="05335299" w14:textId="77777777" w:rsidR="00293F62" w:rsidRPr="009548E1" w:rsidRDefault="00293F62" w:rsidP="005C7D38">
            <w:pPr>
              <w:jc w:val="right"/>
              <w:rPr>
                <w:sz w:val="16"/>
                <w:szCs w:val="16"/>
              </w:rPr>
            </w:pPr>
            <w:r w:rsidRPr="009548E1">
              <w:rPr>
                <w:sz w:val="16"/>
                <w:szCs w:val="16"/>
              </w:rPr>
              <w:t>256.284,19</w:t>
            </w:r>
          </w:p>
        </w:tc>
      </w:tr>
      <w:tr w:rsidR="00293F62" w:rsidRPr="009548E1" w14:paraId="77508A1C" w14:textId="77777777" w:rsidTr="005C7D3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380D17" w14:textId="77777777" w:rsidR="00293F62" w:rsidRPr="009548E1" w:rsidRDefault="00293F62" w:rsidP="005C7D38">
            <w:pPr>
              <w:jc w:val="center"/>
              <w:rPr>
                <w:sz w:val="16"/>
                <w:szCs w:val="16"/>
              </w:rPr>
            </w:pPr>
            <w:r w:rsidRPr="009548E1">
              <w:rPr>
                <w:sz w:val="16"/>
                <w:szCs w:val="16"/>
              </w:rPr>
              <w:t>10</w:t>
            </w:r>
            <w:r>
              <w:rPr>
                <w:sz w:val="16"/>
                <w:szCs w:val="16"/>
              </w:rPr>
              <w:t>.</w:t>
            </w:r>
          </w:p>
        </w:tc>
        <w:tc>
          <w:tcPr>
            <w:tcW w:w="3920" w:type="dxa"/>
            <w:tcBorders>
              <w:top w:val="single" w:sz="4" w:space="0" w:color="auto"/>
              <w:left w:val="nil"/>
              <w:bottom w:val="nil"/>
              <w:right w:val="single" w:sz="4" w:space="0" w:color="auto"/>
            </w:tcBorders>
            <w:shd w:val="clear" w:color="auto" w:fill="auto"/>
            <w:noWrap/>
            <w:vAlign w:val="center"/>
            <w:hideMark/>
          </w:tcPr>
          <w:p w14:paraId="325B0725" w14:textId="77777777" w:rsidR="00293F62" w:rsidRPr="009548E1" w:rsidRDefault="00293F62" w:rsidP="005C7D38">
            <w:pPr>
              <w:rPr>
                <w:sz w:val="16"/>
                <w:szCs w:val="16"/>
              </w:rPr>
            </w:pPr>
            <w:r w:rsidRPr="009548E1">
              <w:rPr>
                <w:sz w:val="16"/>
                <w:szCs w:val="16"/>
              </w:rPr>
              <w:t>AIIB</w:t>
            </w:r>
          </w:p>
        </w:tc>
        <w:tc>
          <w:tcPr>
            <w:tcW w:w="1960" w:type="dxa"/>
            <w:tcBorders>
              <w:top w:val="single" w:sz="4" w:space="0" w:color="auto"/>
              <w:left w:val="nil"/>
              <w:bottom w:val="nil"/>
              <w:right w:val="single" w:sz="4" w:space="0" w:color="auto"/>
            </w:tcBorders>
            <w:shd w:val="clear" w:color="auto" w:fill="auto"/>
            <w:noWrap/>
            <w:vAlign w:val="center"/>
            <w:hideMark/>
          </w:tcPr>
          <w:p w14:paraId="692DDD79" w14:textId="77777777" w:rsidR="00293F62" w:rsidRPr="009548E1" w:rsidRDefault="00293F62" w:rsidP="005C7D38">
            <w:pPr>
              <w:jc w:val="center"/>
              <w:rPr>
                <w:sz w:val="16"/>
                <w:szCs w:val="16"/>
              </w:rPr>
            </w:pPr>
            <w:r w:rsidRPr="009548E1">
              <w:rPr>
                <w:sz w:val="16"/>
                <w:szCs w:val="16"/>
              </w:rPr>
              <w:t>USD</w:t>
            </w:r>
          </w:p>
        </w:tc>
        <w:tc>
          <w:tcPr>
            <w:tcW w:w="1540" w:type="dxa"/>
            <w:tcBorders>
              <w:top w:val="single" w:sz="4" w:space="0" w:color="auto"/>
              <w:left w:val="nil"/>
              <w:bottom w:val="nil"/>
              <w:right w:val="single" w:sz="4" w:space="0" w:color="auto"/>
            </w:tcBorders>
            <w:shd w:val="clear" w:color="auto" w:fill="auto"/>
            <w:noWrap/>
            <w:vAlign w:val="center"/>
            <w:hideMark/>
          </w:tcPr>
          <w:p w14:paraId="1F964C4B" w14:textId="77777777" w:rsidR="00293F62" w:rsidRPr="009548E1" w:rsidRDefault="00293F62" w:rsidP="005C7D38">
            <w:pPr>
              <w:jc w:val="right"/>
              <w:rPr>
                <w:sz w:val="16"/>
                <w:szCs w:val="16"/>
              </w:rPr>
            </w:pPr>
            <w:r w:rsidRPr="009548E1">
              <w:rPr>
                <w:sz w:val="16"/>
                <w:szCs w:val="16"/>
              </w:rPr>
              <w:t>600.000,00</w:t>
            </w:r>
          </w:p>
        </w:tc>
        <w:tc>
          <w:tcPr>
            <w:tcW w:w="1540" w:type="dxa"/>
            <w:tcBorders>
              <w:top w:val="single" w:sz="4" w:space="0" w:color="auto"/>
              <w:left w:val="nil"/>
              <w:bottom w:val="nil"/>
              <w:right w:val="single" w:sz="4" w:space="0" w:color="auto"/>
            </w:tcBorders>
            <w:shd w:val="clear" w:color="auto" w:fill="auto"/>
            <w:vAlign w:val="center"/>
            <w:hideMark/>
          </w:tcPr>
          <w:p w14:paraId="63F98AD9" w14:textId="77777777" w:rsidR="00293F62" w:rsidRPr="009548E1" w:rsidRDefault="00293F62" w:rsidP="005C7D38">
            <w:pPr>
              <w:jc w:val="right"/>
              <w:rPr>
                <w:sz w:val="16"/>
                <w:szCs w:val="16"/>
              </w:rPr>
            </w:pPr>
            <w:r w:rsidRPr="009548E1">
              <w:rPr>
                <w:sz w:val="16"/>
                <w:szCs w:val="16"/>
              </w:rPr>
              <w:t>542.986,43</w:t>
            </w:r>
          </w:p>
        </w:tc>
      </w:tr>
      <w:tr w:rsidR="00293F62" w:rsidRPr="009548E1" w14:paraId="38CDEC81" w14:textId="77777777" w:rsidTr="005C7D38">
        <w:trPr>
          <w:trHeight w:val="2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CF47DC" w14:textId="77777777" w:rsidR="00293F62" w:rsidRPr="009548E1" w:rsidRDefault="00293F62" w:rsidP="005C7D38">
            <w:pPr>
              <w:jc w:val="center"/>
              <w:rPr>
                <w:sz w:val="16"/>
                <w:szCs w:val="16"/>
              </w:rPr>
            </w:pPr>
            <w:r w:rsidRPr="009548E1">
              <w:rPr>
                <w:sz w:val="16"/>
                <w:szCs w:val="16"/>
              </w:rPr>
              <w:t>11</w:t>
            </w:r>
            <w:r>
              <w:rPr>
                <w:sz w:val="16"/>
                <w:szCs w:val="16"/>
              </w:rPr>
              <w:t>.</w:t>
            </w:r>
          </w:p>
        </w:tc>
        <w:tc>
          <w:tcPr>
            <w:tcW w:w="3920" w:type="dxa"/>
            <w:tcBorders>
              <w:top w:val="single" w:sz="4" w:space="0" w:color="auto"/>
              <w:left w:val="nil"/>
              <w:bottom w:val="nil"/>
              <w:right w:val="single" w:sz="4" w:space="0" w:color="auto"/>
            </w:tcBorders>
            <w:shd w:val="clear" w:color="auto" w:fill="auto"/>
            <w:noWrap/>
            <w:vAlign w:val="center"/>
            <w:hideMark/>
          </w:tcPr>
          <w:p w14:paraId="1604AE26" w14:textId="77777777" w:rsidR="00293F62" w:rsidRPr="009548E1" w:rsidRDefault="00293F62" w:rsidP="005C7D38">
            <w:pPr>
              <w:rPr>
                <w:sz w:val="16"/>
                <w:szCs w:val="16"/>
              </w:rPr>
            </w:pPr>
            <w:r w:rsidRPr="009548E1">
              <w:rPr>
                <w:sz w:val="16"/>
                <w:szCs w:val="16"/>
              </w:rPr>
              <w:t>ESM</w:t>
            </w:r>
          </w:p>
        </w:tc>
        <w:tc>
          <w:tcPr>
            <w:tcW w:w="1960" w:type="dxa"/>
            <w:tcBorders>
              <w:top w:val="single" w:sz="4" w:space="0" w:color="auto"/>
              <w:left w:val="nil"/>
              <w:bottom w:val="nil"/>
              <w:right w:val="single" w:sz="4" w:space="0" w:color="auto"/>
            </w:tcBorders>
            <w:shd w:val="clear" w:color="auto" w:fill="auto"/>
            <w:noWrap/>
            <w:vAlign w:val="center"/>
            <w:hideMark/>
          </w:tcPr>
          <w:p w14:paraId="4C999882" w14:textId="77777777" w:rsidR="00293F62" w:rsidRPr="009548E1" w:rsidRDefault="00293F62" w:rsidP="005C7D38">
            <w:pPr>
              <w:jc w:val="center"/>
              <w:rPr>
                <w:sz w:val="16"/>
                <w:szCs w:val="16"/>
              </w:rPr>
            </w:pPr>
            <w:r w:rsidRPr="009548E1">
              <w:rPr>
                <w:sz w:val="16"/>
                <w:szCs w:val="16"/>
              </w:rPr>
              <w:t>EUR</w:t>
            </w:r>
          </w:p>
        </w:tc>
        <w:tc>
          <w:tcPr>
            <w:tcW w:w="1540" w:type="dxa"/>
            <w:tcBorders>
              <w:top w:val="single" w:sz="4" w:space="0" w:color="auto"/>
              <w:left w:val="nil"/>
              <w:bottom w:val="nil"/>
              <w:right w:val="single" w:sz="4" w:space="0" w:color="auto"/>
            </w:tcBorders>
            <w:shd w:val="clear" w:color="auto" w:fill="auto"/>
            <w:noWrap/>
            <w:vAlign w:val="center"/>
            <w:hideMark/>
          </w:tcPr>
          <w:p w14:paraId="3B7C8F9D" w14:textId="77777777" w:rsidR="00293F62" w:rsidRPr="009548E1" w:rsidRDefault="00293F62" w:rsidP="005C7D38">
            <w:pPr>
              <w:jc w:val="right"/>
              <w:rPr>
                <w:sz w:val="16"/>
                <w:szCs w:val="16"/>
              </w:rPr>
            </w:pPr>
            <w:r w:rsidRPr="009548E1">
              <w:rPr>
                <w:sz w:val="16"/>
                <w:szCs w:val="16"/>
              </w:rPr>
              <w:t>84.458.000,00</w:t>
            </w:r>
          </w:p>
        </w:tc>
        <w:tc>
          <w:tcPr>
            <w:tcW w:w="1540" w:type="dxa"/>
            <w:tcBorders>
              <w:top w:val="single" w:sz="4" w:space="0" w:color="auto"/>
              <w:left w:val="nil"/>
              <w:bottom w:val="nil"/>
              <w:right w:val="single" w:sz="4" w:space="0" w:color="auto"/>
            </w:tcBorders>
            <w:shd w:val="clear" w:color="auto" w:fill="auto"/>
            <w:vAlign w:val="center"/>
            <w:hideMark/>
          </w:tcPr>
          <w:p w14:paraId="349E5274" w14:textId="77777777" w:rsidR="00293F62" w:rsidRPr="009548E1" w:rsidRDefault="00293F62" w:rsidP="005C7D38">
            <w:pPr>
              <w:jc w:val="right"/>
              <w:rPr>
                <w:sz w:val="16"/>
                <w:szCs w:val="16"/>
              </w:rPr>
            </w:pPr>
            <w:r w:rsidRPr="009548E1">
              <w:rPr>
                <w:sz w:val="16"/>
                <w:szCs w:val="16"/>
              </w:rPr>
              <w:t>84.458.000,00</w:t>
            </w:r>
          </w:p>
        </w:tc>
      </w:tr>
      <w:tr w:rsidR="00293F62" w:rsidRPr="009548E1" w14:paraId="6444F62F" w14:textId="77777777" w:rsidTr="005C7D38">
        <w:trPr>
          <w:trHeight w:val="285"/>
          <w:jc w:val="center"/>
        </w:trPr>
        <w:tc>
          <w:tcPr>
            <w:tcW w:w="4880" w:type="dxa"/>
            <w:gridSpan w:val="2"/>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14:paraId="4EF6EBD3" w14:textId="77777777" w:rsidR="00293F62" w:rsidRPr="009548E1" w:rsidRDefault="00293F62" w:rsidP="005C7D38">
            <w:pPr>
              <w:jc w:val="center"/>
              <w:rPr>
                <w:b/>
                <w:bCs/>
                <w:sz w:val="20"/>
                <w:szCs w:val="20"/>
              </w:rPr>
            </w:pPr>
            <w:r w:rsidRPr="009548E1">
              <w:rPr>
                <w:b/>
                <w:bCs/>
                <w:sz w:val="20"/>
                <w:szCs w:val="20"/>
              </w:rPr>
              <w:t>UKUPNO</w:t>
            </w:r>
          </w:p>
        </w:tc>
        <w:tc>
          <w:tcPr>
            <w:tcW w:w="1960" w:type="dxa"/>
            <w:tcBorders>
              <w:top w:val="double" w:sz="6" w:space="0" w:color="auto"/>
              <w:left w:val="nil"/>
              <w:bottom w:val="double" w:sz="6" w:space="0" w:color="auto"/>
              <w:right w:val="nil"/>
            </w:tcBorders>
            <w:shd w:val="clear" w:color="auto" w:fill="auto"/>
            <w:noWrap/>
            <w:vAlign w:val="center"/>
            <w:hideMark/>
          </w:tcPr>
          <w:p w14:paraId="71C1EB1F" w14:textId="77777777" w:rsidR="00293F62" w:rsidRPr="009548E1" w:rsidRDefault="00293F62" w:rsidP="005C7D38">
            <w:pPr>
              <w:jc w:val="center"/>
              <w:rPr>
                <w:b/>
                <w:bCs/>
                <w:sz w:val="20"/>
                <w:szCs w:val="20"/>
              </w:rPr>
            </w:pPr>
            <w:r w:rsidRPr="009548E1">
              <w:rPr>
                <w:b/>
                <w:bCs/>
                <w:sz w:val="20"/>
                <w:szCs w:val="20"/>
              </w:rPr>
              <w:t>USD</w:t>
            </w:r>
          </w:p>
        </w:tc>
        <w:tc>
          <w:tcPr>
            <w:tcW w:w="154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3765EC90" w14:textId="77777777" w:rsidR="00293F62" w:rsidRPr="009548E1" w:rsidRDefault="00293F62" w:rsidP="005C7D38">
            <w:pPr>
              <w:jc w:val="right"/>
              <w:rPr>
                <w:sz w:val="20"/>
                <w:szCs w:val="20"/>
              </w:rPr>
            </w:pPr>
            <w:r w:rsidRPr="009548E1">
              <w:rPr>
                <w:sz w:val="20"/>
                <w:szCs w:val="20"/>
              </w:rPr>
              <w:t>72.415.946,38</w:t>
            </w:r>
          </w:p>
        </w:tc>
        <w:tc>
          <w:tcPr>
            <w:tcW w:w="1540" w:type="dxa"/>
            <w:tcBorders>
              <w:top w:val="double" w:sz="6" w:space="0" w:color="auto"/>
              <w:left w:val="nil"/>
              <w:bottom w:val="double" w:sz="6" w:space="0" w:color="auto"/>
              <w:right w:val="double" w:sz="6" w:space="0" w:color="auto"/>
            </w:tcBorders>
            <w:shd w:val="clear" w:color="auto" w:fill="auto"/>
            <w:noWrap/>
            <w:vAlign w:val="center"/>
            <w:hideMark/>
          </w:tcPr>
          <w:p w14:paraId="5C312428" w14:textId="77777777" w:rsidR="00293F62" w:rsidRPr="009548E1" w:rsidRDefault="00293F62" w:rsidP="005C7D38">
            <w:pPr>
              <w:jc w:val="right"/>
              <w:rPr>
                <w:sz w:val="20"/>
                <w:szCs w:val="20"/>
              </w:rPr>
            </w:pPr>
            <w:r w:rsidRPr="009548E1">
              <w:rPr>
                <w:sz w:val="20"/>
                <w:szCs w:val="20"/>
              </w:rPr>
              <w:t>65.534.793,10</w:t>
            </w:r>
          </w:p>
        </w:tc>
      </w:tr>
      <w:tr w:rsidR="00293F62" w:rsidRPr="009548E1" w14:paraId="22A6C9B3" w14:textId="77777777" w:rsidTr="005C7D38">
        <w:trPr>
          <w:trHeight w:val="285"/>
          <w:jc w:val="center"/>
        </w:trPr>
        <w:tc>
          <w:tcPr>
            <w:tcW w:w="4880" w:type="dxa"/>
            <w:gridSpan w:val="2"/>
            <w:vMerge/>
            <w:tcBorders>
              <w:top w:val="double" w:sz="6" w:space="0" w:color="auto"/>
              <w:left w:val="double" w:sz="6" w:space="0" w:color="auto"/>
              <w:bottom w:val="double" w:sz="6" w:space="0" w:color="000000"/>
              <w:right w:val="double" w:sz="6" w:space="0" w:color="000000"/>
            </w:tcBorders>
            <w:vAlign w:val="center"/>
            <w:hideMark/>
          </w:tcPr>
          <w:p w14:paraId="44A5593E" w14:textId="77777777" w:rsidR="00293F62" w:rsidRPr="009548E1" w:rsidRDefault="00293F62" w:rsidP="005C7D38">
            <w:pPr>
              <w:rPr>
                <w:b/>
                <w:bCs/>
                <w:sz w:val="20"/>
                <w:szCs w:val="20"/>
              </w:rPr>
            </w:pPr>
          </w:p>
        </w:tc>
        <w:tc>
          <w:tcPr>
            <w:tcW w:w="1960" w:type="dxa"/>
            <w:tcBorders>
              <w:top w:val="nil"/>
              <w:left w:val="nil"/>
              <w:bottom w:val="double" w:sz="6" w:space="0" w:color="auto"/>
              <w:right w:val="nil"/>
            </w:tcBorders>
            <w:shd w:val="clear" w:color="auto" w:fill="auto"/>
            <w:noWrap/>
            <w:vAlign w:val="center"/>
            <w:hideMark/>
          </w:tcPr>
          <w:p w14:paraId="165D7625" w14:textId="77777777" w:rsidR="00293F62" w:rsidRPr="009548E1" w:rsidRDefault="00293F62" w:rsidP="005C7D38">
            <w:pPr>
              <w:jc w:val="center"/>
              <w:rPr>
                <w:b/>
                <w:bCs/>
                <w:sz w:val="20"/>
                <w:szCs w:val="20"/>
              </w:rPr>
            </w:pPr>
            <w:r w:rsidRPr="009548E1">
              <w:rPr>
                <w:b/>
                <w:bCs/>
                <w:sz w:val="20"/>
                <w:szCs w:val="20"/>
              </w:rPr>
              <w:t>EUR</w:t>
            </w:r>
          </w:p>
        </w:tc>
        <w:tc>
          <w:tcPr>
            <w:tcW w:w="1540" w:type="dxa"/>
            <w:tcBorders>
              <w:top w:val="nil"/>
              <w:left w:val="double" w:sz="6" w:space="0" w:color="auto"/>
              <w:bottom w:val="double" w:sz="6" w:space="0" w:color="auto"/>
              <w:right w:val="double" w:sz="6" w:space="0" w:color="auto"/>
            </w:tcBorders>
            <w:shd w:val="clear" w:color="auto" w:fill="auto"/>
            <w:noWrap/>
            <w:vAlign w:val="center"/>
            <w:hideMark/>
          </w:tcPr>
          <w:p w14:paraId="1A8A1C05" w14:textId="77777777" w:rsidR="00293F62" w:rsidRPr="009548E1" w:rsidRDefault="00293F62" w:rsidP="005C7D38">
            <w:pPr>
              <w:jc w:val="right"/>
              <w:rPr>
                <w:sz w:val="20"/>
                <w:szCs w:val="20"/>
              </w:rPr>
            </w:pPr>
            <w:r w:rsidRPr="009548E1">
              <w:rPr>
                <w:sz w:val="20"/>
                <w:szCs w:val="20"/>
              </w:rPr>
              <w:t>204.400.946,00</w:t>
            </w:r>
          </w:p>
        </w:tc>
        <w:tc>
          <w:tcPr>
            <w:tcW w:w="1540" w:type="dxa"/>
            <w:tcBorders>
              <w:top w:val="nil"/>
              <w:left w:val="nil"/>
              <w:bottom w:val="double" w:sz="6" w:space="0" w:color="auto"/>
              <w:right w:val="double" w:sz="6" w:space="0" w:color="auto"/>
            </w:tcBorders>
            <w:shd w:val="clear" w:color="auto" w:fill="auto"/>
            <w:noWrap/>
            <w:vAlign w:val="center"/>
            <w:hideMark/>
          </w:tcPr>
          <w:p w14:paraId="3F61B698" w14:textId="77777777" w:rsidR="00293F62" w:rsidRPr="009548E1" w:rsidRDefault="00293F62" w:rsidP="005C7D38">
            <w:pPr>
              <w:jc w:val="right"/>
              <w:rPr>
                <w:sz w:val="20"/>
                <w:szCs w:val="20"/>
              </w:rPr>
            </w:pPr>
            <w:r w:rsidRPr="009548E1">
              <w:rPr>
                <w:sz w:val="20"/>
                <w:szCs w:val="20"/>
              </w:rPr>
              <w:t>204.400.946,00</w:t>
            </w:r>
          </w:p>
        </w:tc>
      </w:tr>
      <w:tr w:rsidR="00293F62" w:rsidRPr="009548E1" w14:paraId="4A642BC3" w14:textId="77777777" w:rsidTr="005C7D38">
        <w:trPr>
          <w:trHeight w:val="285"/>
          <w:jc w:val="center"/>
        </w:trPr>
        <w:tc>
          <w:tcPr>
            <w:tcW w:w="8380" w:type="dxa"/>
            <w:gridSpan w:val="4"/>
            <w:tcBorders>
              <w:top w:val="double" w:sz="6" w:space="0" w:color="auto"/>
              <w:left w:val="double" w:sz="6" w:space="0" w:color="auto"/>
              <w:bottom w:val="double" w:sz="6" w:space="0" w:color="000000"/>
              <w:right w:val="double" w:sz="6" w:space="0" w:color="auto"/>
            </w:tcBorders>
            <w:vAlign w:val="center"/>
          </w:tcPr>
          <w:p w14:paraId="7394A1C1" w14:textId="77777777" w:rsidR="00293F62" w:rsidRPr="00244B00" w:rsidRDefault="00293F62" w:rsidP="005C7D38">
            <w:pPr>
              <w:jc w:val="center"/>
              <w:rPr>
                <w:b/>
                <w:sz w:val="20"/>
                <w:szCs w:val="20"/>
              </w:rPr>
            </w:pPr>
            <w:r w:rsidRPr="00244B00">
              <w:rPr>
                <w:b/>
                <w:sz w:val="20"/>
                <w:szCs w:val="20"/>
              </w:rPr>
              <w:t>Ukupno stanje na dan 31. prosinca 2023. u eurima</w:t>
            </w:r>
          </w:p>
        </w:tc>
        <w:tc>
          <w:tcPr>
            <w:tcW w:w="1540" w:type="dxa"/>
            <w:tcBorders>
              <w:top w:val="nil"/>
              <w:left w:val="nil"/>
              <w:bottom w:val="double" w:sz="6" w:space="0" w:color="auto"/>
              <w:right w:val="double" w:sz="6" w:space="0" w:color="auto"/>
            </w:tcBorders>
            <w:shd w:val="clear" w:color="auto" w:fill="auto"/>
            <w:noWrap/>
            <w:vAlign w:val="center"/>
          </w:tcPr>
          <w:p w14:paraId="280E5F21" w14:textId="77777777" w:rsidR="00293F62" w:rsidRPr="00244B00" w:rsidRDefault="00293F62" w:rsidP="005C7D38">
            <w:pPr>
              <w:jc w:val="right"/>
              <w:rPr>
                <w:b/>
                <w:sz w:val="20"/>
                <w:szCs w:val="20"/>
              </w:rPr>
            </w:pPr>
            <w:r w:rsidRPr="00244B00">
              <w:rPr>
                <w:b/>
                <w:sz w:val="20"/>
                <w:szCs w:val="20"/>
              </w:rPr>
              <w:t>269.935.739,10</w:t>
            </w:r>
          </w:p>
        </w:tc>
      </w:tr>
    </w:tbl>
    <w:p w14:paraId="7FEFA935" w14:textId="77777777" w:rsidR="00293F62" w:rsidRPr="009548E1" w:rsidRDefault="00293F62" w:rsidP="00293F62">
      <w:pPr>
        <w:keepNext/>
        <w:rPr>
          <w:sz w:val="28"/>
        </w:rPr>
      </w:pPr>
    </w:p>
    <w:p w14:paraId="283B6080" w14:textId="77777777" w:rsidR="00293F62" w:rsidRPr="009548E1" w:rsidRDefault="00293F62" w:rsidP="00293F62">
      <w:pPr>
        <w:keepNext/>
        <w:jc w:val="center"/>
        <w:rPr>
          <w:sz w:val="28"/>
        </w:rPr>
      </w:pPr>
      <w:r>
        <w:rPr>
          <w:sz w:val="28"/>
        </w:rPr>
        <w:t>Bilješka 15</w:t>
      </w:r>
      <w:r w:rsidRPr="009548E1">
        <w:rPr>
          <w:sz w:val="28"/>
        </w:rPr>
        <w:t>.</w:t>
      </w:r>
    </w:p>
    <w:p w14:paraId="08F1C6ED" w14:textId="77777777" w:rsidR="00293F62" w:rsidRPr="009548E1" w:rsidRDefault="00293F62" w:rsidP="00293F62">
      <w:pPr>
        <w:keepNext/>
        <w:spacing w:after="240"/>
        <w:jc w:val="center"/>
        <w:rPr>
          <w:sz w:val="28"/>
        </w:rPr>
      </w:pPr>
      <w:r w:rsidRPr="009548E1">
        <w:rPr>
          <w:sz w:val="28"/>
        </w:rPr>
        <w:t>Šifra 1637 Potraživanja za povrat pomoći danih unutar općeg proračuna po protestiranim jamstvima</w:t>
      </w:r>
    </w:p>
    <w:p w14:paraId="3E691CF5" w14:textId="6440E580" w:rsidR="00293F62" w:rsidRDefault="00293F62" w:rsidP="00293F62">
      <w:pPr>
        <w:jc w:val="both"/>
      </w:pPr>
      <w:r w:rsidRPr="009548E1">
        <w:t xml:space="preserve">Potraživanja za povrat pomoći danih unutar općeg proračuna po protestiranim jamstvima na dan 31. prosinca 2023. godine iznose 199.410.116,90 eura od čega se na HŽ Infrastrukturu d.o.o. odnosi 197.219.517,93 eura, na HŽ Putnički prijevoz d.o.o. 2.040.389,45 eura te potraživanja za zajmove dane drugim razinama vlasti po protestiranim jamstvima </w:t>
      </w:r>
      <w:r>
        <w:t>za Općinu Krapinske Toplice u iznosu 5.388.,64 eura i Općinu Novigrad Podravski u iznosu od 144.820,89 eura.</w:t>
      </w:r>
    </w:p>
    <w:p w14:paraId="28B14E19" w14:textId="77777777" w:rsidR="00293F62" w:rsidRPr="009548E1" w:rsidRDefault="00293F62" w:rsidP="00293F62">
      <w:pPr>
        <w:jc w:val="both"/>
      </w:pPr>
    </w:p>
    <w:p w14:paraId="6188B8F2" w14:textId="77777777" w:rsidR="00293F62" w:rsidRPr="009548E1" w:rsidRDefault="00293F62" w:rsidP="00293F62">
      <w:pPr>
        <w:widowControl w:val="0"/>
        <w:jc w:val="center"/>
        <w:rPr>
          <w:sz w:val="28"/>
        </w:rPr>
      </w:pPr>
      <w:r>
        <w:rPr>
          <w:sz w:val="28"/>
        </w:rPr>
        <w:t>Bilješka 16</w:t>
      </w:r>
      <w:r w:rsidRPr="009548E1">
        <w:rPr>
          <w:sz w:val="28"/>
        </w:rPr>
        <w:t>.</w:t>
      </w:r>
    </w:p>
    <w:p w14:paraId="552C02DD" w14:textId="77777777" w:rsidR="00293F62" w:rsidRPr="009548E1" w:rsidRDefault="00293F62" w:rsidP="00293F62">
      <w:pPr>
        <w:widowControl w:val="0"/>
        <w:spacing w:after="240"/>
        <w:jc w:val="center"/>
        <w:rPr>
          <w:sz w:val="28"/>
        </w:rPr>
      </w:pPr>
      <w:r w:rsidRPr="009548E1">
        <w:rPr>
          <w:sz w:val="28"/>
        </w:rPr>
        <w:t>Šifra 164 Potraživanja za prihode od imovine</w:t>
      </w:r>
    </w:p>
    <w:p w14:paraId="1476C828" w14:textId="77777777" w:rsidR="00293F62" w:rsidRPr="009548E1" w:rsidRDefault="00293F62" w:rsidP="00293F62">
      <w:pPr>
        <w:widowControl w:val="0"/>
        <w:jc w:val="both"/>
      </w:pPr>
      <w:r w:rsidRPr="009548E1">
        <w:t xml:space="preserve">Iznosi potraživanja za prihode od imovine na dan 31. prosinca 2023. godine iznose 259.668.504,85 eura i veća su za 16,7% u odnosu na stanje na dan 1. siječnja 2023. godine. Najznačajniji iznosi odnose se na: </w:t>
      </w:r>
    </w:p>
    <w:p w14:paraId="2BE96147" w14:textId="77777777" w:rsidR="00293F62" w:rsidRPr="009548E1" w:rsidRDefault="00293F62" w:rsidP="00293F62">
      <w:pPr>
        <w:widowControl w:val="0"/>
        <w:numPr>
          <w:ilvl w:val="0"/>
          <w:numId w:val="20"/>
        </w:numPr>
        <w:tabs>
          <w:tab w:val="decimal" w:pos="8820"/>
        </w:tabs>
        <w:jc w:val="both"/>
      </w:pPr>
      <w:r w:rsidRPr="009548E1">
        <w:t xml:space="preserve">potraživanja za zatezne kamate po danim zajmovima bivšeg Fonda za razvoj i zapošljavanje u iznosu od 14.755.182,36 eura, </w:t>
      </w:r>
    </w:p>
    <w:p w14:paraId="3345A3DB" w14:textId="77777777" w:rsidR="00293F62" w:rsidRPr="009548E1" w:rsidRDefault="00293F62" w:rsidP="00293F62">
      <w:pPr>
        <w:widowControl w:val="0"/>
        <w:numPr>
          <w:ilvl w:val="0"/>
          <w:numId w:val="20"/>
        </w:numPr>
        <w:tabs>
          <w:tab w:val="clear" w:pos="720"/>
        </w:tabs>
        <w:jc w:val="both"/>
      </w:pPr>
      <w:r w:rsidRPr="009548E1">
        <w:t xml:space="preserve">potraživanja za kamate po danim zajmovima bivšeg Fonda za razvoj i zapošljavanje tuzemnim trgovačkim društvima i obrtima u iznosu od 7.537.652,56 eura, </w:t>
      </w:r>
    </w:p>
    <w:p w14:paraId="11ABD1D7" w14:textId="77777777" w:rsidR="00293F62" w:rsidRPr="009548E1" w:rsidRDefault="00293F62" w:rsidP="00293F62">
      <w:pPr>
        <w:widowControl w:val="0"/>
        <w:numPr>
          <w:ilvl w:val="0"/>
          <w:numId w:val="20"/>
        </w:numPr>
        <w:tabs>
          <w:tab w:val="decimal" w:pos="8820"/>
        </w:tabs>
        <w:jc w:val="both"/>
      </w:pPr>
      <w:r w:rsidRPr="009548E1">
        <w:t>evidentirano potraživanje od Republike Sudan u iznosu od 27.789.140,27 eura,</w:t>
      </w:r>
    </w:p>
    <w:p w14:paraId="079DF150" w14:textId="77777777" w:rsidR="00293F62" w:rsidRPr="009548E1" w:rsidRDefault="00293F62" w:rsidP="00293F62">
      <w:pPr>
        <w:widowControl w:val="0"/>
        <w:numPr>
          <w:ilvl w:val="0"/>
          <w:numId w:val="20"/>
        </w:numPr>
        <w:tabs>
          <w:tab w:val="decimal" w:pos="8820"/>
        </w:tabs>
        <w:jc w:val="both"/>
      </w:pPr>
      <w:r w:rsidRPr="009548E1">
        <w:t>potraživanja za prihode od kamata na dane zajmove Hrvatske Autoceste, Autocesta Rijeka - Zagreb u iznosu od 62.513.275,89 eura,</w:t>
      </w:r>
    </w:p>
    <w:p w14:paraId="513F331F" w14:textId="77777777" w:rsidR="00293F62" w:rsidRDefault="00293F62" w:rsidP="00293F62">
      <w:pPr>
        <w:widowControl w:val="0"/>
        <w:numPr>
          <w:ilvl w:val="0"/>
          <w:numId w:val="20"/>
        </w:numPr>
        <w:tabs>
          <w:tab w:val="decimal" w:pos="8820"/>
        </w:tabs>
        <w:ind w:left="714" w:hanging="357"/>
        <w:jc w:val="both"/>
      </w:pPr>
      <w:r w:rsidRPr="009548E1">
        <w:t>potraživanja za prihode od kamata na dane zajmove po protestiranim jamstvima u iznosu od 144.595.495,35 eura.</w:t>
      </w:r>
    </w:p>
    <w:p w14:paraId="00991AC9" w14:textId="77777777" w:rsidR="00293F62" w:rsidRPr="009548E1" w:rsidRDefault="00293F62" w:rsidP="00293F62">
      <w:pPr>
        <w:widowControl w:val="0"/>
        <w:tabs>
          <w:tab w:val="decimal" w:pos="8820"/>
        </w:tabs>
        <w:ind w:left="714"/>
        <w:jc w:val="both"/>
      </w:pPr>
    </w:p>
    <w:p w14:paraId="0CA5416D" w14:textId="77777777" w:rsidR="00293F62" w:rsidRPr="009548E1" w:rsidRDefault="00293F62" w:rsidP="00293F62">
      <w:pPr>
        <w:keepNext/>
        <w:jc w:val="center"/>
        <w:rPr>
          <w:sz w:val="28"/>
        </w:rPr>
      </w:pPr>
      <w:r>
        <w:rPr>
          <w:sz w:val="28"/>
        </w:rPr>
        <w:t>Bilješka 17</w:t>
      </w:r>
      <w:r w:rsidRPr="009548E1">
        <w:rPr>
          <w:sz w:val="28"/>
        </w:rPr>
        <w:t>.</w:t>
      </w:r>
    </w:p>
    <w:p w14:paraId="3ACBB31D" w14:textId="77777777" w:rsidR="00293F62" w:rsidRPr="009548E1" w:rsidRDefault="00293F62" w:rsidP="00293F62">
      <w:pPr>
        <w:keepNext/>
        <w:spacing w:after="240"/>
        <w:jc w:val="center"/>
        <w:rPr>
          <w:sz w:val="28"/>
        </w:rPr>
      </w:pPr>
      <w:r w:rsidRPr="009548E1">
        <w:rPr>
          <w:sz w:val="28"/>
        </w:rPr>
        <w:t>Šifra 165 Potraživanja za upravne i administrativne pristojbe, pristojbe po posebnim propisima i naknade</w:t>
      </w:r>
    </w:p>
    <w:p w14:paraId="33A32D93" w14:textId="77777777" w:rsidR="00293F62" w:rsidRPr="009548E1" w:rsidRDefault="00293F62" w:rsidP="00293F62">
      <w:pPr>
        <w:keepNext/>
        <w:spacing w:before="120" w:after="120"/>
        <w:jc w:val="both"/>
      </w:pPr>
      <w:r w:rsidRPr="009548E1">
        <w:t xml:space="preserve">Potraživanja za upravne i administrativne pristojbe, pristojbe po posebnim propisima i naknade na dan 31. prosinca 2023. godine iznose 1.572.854,64 eura, dok su na dan 1. siječnja 2023. iznosila 6.291.611,45 eura što predstavlja smanjenje od 75% u promatranom razdoblju.. </w:t>
      </w:r>
    </w:p>
    <w:p w14:paraId="16182DE2" w14:textId="77777777" w:rsidR="00293F62" w:rsidRDefault="00293F62" w:rsidP="00293F62">
      <w:pPr>
        <w:keepNext/>
        <w:spacing w:before="120" w:after="120"/>
        <w:jc w:val="both"/>
      </w:pPr>
      <w:r w:rsidRPr="009548E1">
        <w:t>Najznačajniji dio navedenih potraživanja odnosi se na potraživanja za naknade za izdana jamstva na dan 31. prosinca 2023. godine</w:t>
      </w:r>
      <w:r>
        <w:t xml:space="preserve"> čiji je pregled dan u Tablici 4</w:t>
      </w:r>
      <w:r w:rsidRPr="009548E1">
        <w:t>. u iznosu od 1.507.510,40 eura.</w:t>
      </w:r>
    </w:p>
    <w:p w14:paraId="38A4E389" w14:textId="77777777" w:rsidR="00293F62" w:rsidRPr="009548E1" w:rsidRDefault="00293F62" w:rsidP="00293F62">
      <w:pPr>
        <w:keepNext/>
        <w:spacing w:before="120" w:after="120"/>
        <w:jc w:val="both"/>
      </w:pPr>
    </w:p>
    <w:p w14:paraId="28B9CD99" w14:textId="77777777" w:rsidR="00293F62" w:rsidRPr="009548E1" w:rsidRDefault="00293F62" w:rsidP="00293F62">
      <w:pPr>
        <w:keepNext/>
        <w:jc w:val="both"/>
        <w:rPr>
          <w:sz w:val="28"/>
          <w:szCs w:val="28"/>
        </w:rPr>
      </w:pPr>
      <w:r>
        <w:rPr>
          <w:b/>
          <w:sz w:val="20"/>
          <w:szCs w:val="20"/>
        </w:rPr>
        <w:t>Tablica 4</w:t>
      </w:r>
      <w:r w:rsidRPr="009548E1">
        <w:rPr>
          <w:b/>
          <w:sz w:val="20"/>
          <w:szCs w:val="20"/>
        </w:rPr>
        <w:t>.</w:t>
      </w:r>
      <w:r>
        <w:rPr>
          <w:sz w:val="28"/>
          <w:szCs w:val="28"/>
        </w:rPr>
        <w:t xml:space="preserve"> </w:t>
      </w:r>
      <w:r w:rsidRPr="009D1C46">
        <w:rPr>
          <w:b/>
          <w:sz w:val="20"/>
          <w:szCs w:val="20"/>
        </w:rPr>
        <w:t>Potraživanja za naknade za izdana jamstva</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786"/>
        <w:gridCol w:w="2816"/>
      </w:tblGrid>
      <w:tr w:rsidR="00293F62" w:rsidRPr="009548E1" w14:paraId="595EFE8E" w14:textId="77777777" w:rsidTr="005C7D38">
        <w:trPr>
          <w:trHeight w:val="510"/>
          <w:jc w:val="center"/>
        </w:trPr>
        <w:tc>
          <w:tcPr>
            <w:tcW w:w="978" w:type="dxa"/>
            <w:shd w:val="clear" w:color="auto" w:fill="auto"/>
            <w:vAlign w:val="center"/>
            <w:hideMark/>
          </w:tcPr>
          <w:p w14:paraId="7B111D5A" w14:textId="77777777" w:rsidR="00293F62" w:rsidRPr="009548E1" w:rsidRDefault="00293F62" w:rsidP="005C7D38">
            <w:pPr>
              <w:keepNext/>
              <w:jc w:val="center"/>
              <w:rPr>
                <w:b/>
                <w:bCs/>
                <w:sz w:val="20"/>
                <w:szCs w:val="20"/>
              </w:rPr>
            </w:pPr>
            <w:r w:rsidRPr="009548E1">
              <w:rPr>
                <w:b/>
                <w:bCs/>
                <w:sz w:val="20"/>
                <w:szCs w:val="20"/>
              </w:rPr>
              <w:t>Red. broj</w:t>
            </w:r>
          </w:p>
        </w:tc>
        <w:tc>
          <w:tcPr>
            <w:tcW w:w="4786" w:type="dxa"/>
            <w:shd w:val="clear" w:color="auto" w:fill="auto"/>
            <w:noWrap/>
            <w:vAlign w:val="center"/>
            <w:hideMark/>
          </w:tcPr>
          <w:p w14:paraId="5A9FFD6E" w14:textId="77777777" w:rsidR="00293F62" w:rsidRPr="009548E1" w:rsidRDefault="00293F62" w:rsidP="005C7D38">
            <w:pPr>
              <w:keepNext/>
              <w:jc w:val="center"/>
              <w:rPr>
                <w:b/>
                <w:bCs/>
                <w:sz w:val="20"/>
                <w:szCs w:val="20"/>
              </w:rPr>
            </w:pPr>
            <w:r w:rsidRPr="009548E1">
              <w:rPr>
                <w:b/>
                <w:bCs/>
                <w:sz w:val="20"/>
                <w:szCs w:val="20"/>
              </w:rPr>
              <w:t>Dužnik</w:t>
            </w:r>
          </w:p>
        </w:tc>
        <w:tc>
          <w:tcPr>
            <w:tcW w:w="2816" w:type="dxa"/>
            <w:shd w:val="clear" w:color="auto" w:fill="auto"/>
            <w:vAlign w:val="center"/>
            <w:hideMark/>
          </w:tcPr>
          <w:p w14:paraId="46CA48FD" w14:textId="77777777" w:rsidR="00293F62" w:rsidRPr="009548E1" w:rsidRDefault="00293F62" w:rsidP="005C7D38">
            <w:pPr>
              <w:keepNext/>
              <w:jc w:val="center"/>
              <w:rPr>
                <w:b/>
                <w:bCs/>
                <w:sz w:val="20"/>
                <w:szCs w:val="20"/>
              </w:rPr>
            </w:pPr>
            <w:r w:rsidRPr="009548E1">
              <w:rPr>
                <w:b/>
                <w:bCs/>
                <w:sz w:val="20"/>
                <w:szCs w:val="20"/>
              </w:rPr>
              <w:t>Stanje ukupnih potraživanja na 31.12.2023.</w:t>
            </w:r>
          </w:p>
        </w:tc>
      </w:tr>
      <w:tr w:rsidR="00293F62" w:rsidRPr="009548E1" w14:paraId="1F603011" w14:textId="77777777" w:rsidTr="005C7D38">
        <w:trPr>
          <w:trHeight w:val="278"/>
          <w:jc w:val="center"/>
        </w:trPr>
        <w:tc>
          <w:tcPr>
            <w:tcW w:w="978" w:type="dxa"/>
            <w:shd w:val="clear" w:color="auto" w:fill="auto"/>
            <w:noWrap/>
            <w:vAlign w:val="center"/>
          </w:tcPr>
          <w:p w14:paraId="2C5875F6" w14:textId="77777777" w:rsidR="00293F62" w:rsidRPr="009548E1" w:rsidRDefault="00293F62" w:rsidP="005C7D38">
            <w:pPr>
              <w:keepNext/>
              <w:jc w:val="center"/>
              <w:rPr>
                <w:sz w:val="20"/>
                <w:szCs w:val="20"/>
              </w:rPr>
            </w:pPr>
            <w:r w:rsidRPr="009548E1">
              <w:rPr>
                <w:sz w:val="20"/>
                <w:szCs w:val="20"/>
              </w:rPr>
              <w:t>1.</w:t>
            </w:r>
          </w:p>
        </w:tc>
        <w:tc>
          <w:tcPr>
            <w:tcW w:w="4786" w:type="dxa"/>
            <w:shd w:val="clear" w:color="auto" w:fill="auto"/>
            <w:noWrap/>
            <w:vAlign w:val="center"/>
          </w:tcPr>
          <w:p w14:paraId="58B2392E" w14:textId="77777777" w:rsidR="00293F62" w:rsidRPr="009548E1" w:rsidRDefault="00293F62" w:rsidP="005C7D38">
            <w:pPr>
              <w:keepNext/>
              <w:rPr>
                <w:sz w:val="20"/>
                <w:szCs w:val="20"/>
              </w:rPr>
            </w:pPr>
            <w:r w:rsidRPr="009548E1">
              <w:rPr>
                <w:sz w:val="20"/>
                <w:szCs w:val="20"/>
              </w:rPr>
              <w:t>3. MAJ BRODOGRADILIŠTE D.D.</w:t>
            </w:r>
          </w:p>
        </w:tc>
        <w:tc>
          <w:tcPr>
            <w:tcW w:w="2816" w:type="dxa"/>
            <w:shd w:val="clear" w:color="auto" w:fill="auto"/>
            <w:noWrap/>
            <w:vAlign w:val="center"/>
          </w:tcPr>
          <w:p w14:paraId="4848793F" w14:textId="77777777" w:rsidR="00293F62" w:rsidRPr="009548E1" w:rsidRDefault="00293F62" w:rsidP="005C7D38">
            <w:pPr>
              <w:keepNext/>
              <w:jc w:val="right"/>
              <w:rPr>
                <w:sz w:val="20"/>
                <w:szCs w:val="20"/>
              </w:rPr>
            </w:pPr>
            <w:r w:rsidRPr="009548E1">
              <w:rPr>
                <w:sz w:val="20"/>
                <w:szCs w:val="20"/>
              </w:rPr>
              <w:t>516.095,60</w:t>
            </w:r>
          </w:p>
        </w:tc>
      </w:tr>
      <w:tr w:rsidR="00293F62" w:rsidRPr="009548E1" w14:paraId="527C576E" w14:textId="77777777" w:rsidTr="005C7D38">
        <w:trPr>
          <w:trHeight w:val="278"/>
          <w:jc w:val="center"/>
        </w:trPr>
        <w:tc>
          <w:tcPr>
            <w:tcW w:w="978" w:type="dxa"/>
            <w:shd w:val="clear" w:color="auto" w:fill="auto"/>
            <w:noWrap/>
            <w:vAlign w:val="center"/>
          </w:tcPr>
          <w:p w14:paraId="4820CF45" w14:textId="77777777" w:rsidR="00293F62" w:rsidRPr="009548E1" w:rsidRDefault="00293F62" w:rsidP="005C7D38">
            <w:pPr>
              <w:keepNext/>
              <w:jc w:val="center"/>
              <w:rPr>
                <w:sz w:val="20"/>
                <w:szCs w:val="20"/>
              </w:rPr>
            </w:pPr>
            <w:r w:rsidRPr="009548E1">
              <w:rPr>
                <w:sz w:val="20"/>
                <w:szCs w:val="20"/>
              </w:rPr>
              <w:t>2.</w:t>
            </w:r>
          </w:p>
        </w:tc>
        <w:tc>
          <w:tcPr>
            <w:tcW w:w="4786" w:type="dxa"/>
            <w:shd w:val="clear" w:color="auto" w:fill="auto"/>
            <w:noWrap/>
            <w:vAlign w:val="center"/>
          </w:tcPr>
          <w:p w14:paraId="2DBC74C4" w14:textId="77777777" w:rsidR="00293F62" w:rsidRPr="009548E1" w:rsidRDefault="00293F62" w:rsidP="005C7D38">
            <w:pPr>
              <w:keepNext/>
              <w:rPr>
                <w:sz w:val="20"/>
                <w:szCs w:val="20"/>
              </w:rPr>
            </w:pPr>
            <w:r w:rsidRPr="009548E1">
              <w:rPr>
                <w:sz w:val="20"/>
                <w:szCs w:val="20"/>
              </w:rPr>
              <w:t>JADROPLOV D.D.</w:t>
            </w:r>
          </w:p>
        </w:tc>
        <w:tc>
          <w:tcPr>
            <w:tcW w:w="2816" w:type="dxa"/>
            <w:shd w:val="clear" w:color="auto" w:fill="auto"/>
            <w:noWrap/>
            <w:vAlign w:val="center"/>
          </w:tcPr>
          <w:p w14:paraId="31D84FDB" w14:textId="77777777" w:rsidR="00293F62" w:rsidRPr="009548E1" w:rsidRDefault="00293F62" w:rsidP="005C7D38">
            <w:pPr>
              <w:keepNext/>
              <w:jc w:val="right"/>
              <w:rPr>
                <w:sz w:val="20"/>
                <w:szCs w:val="20"/>
              </w:rPr>
            </w:pPr>
            <w:r w:rsidRPr="009548E1">
              <w:rPr>
                <w:sz w:val="20"/>
                <w:szCs w:val="20"/>
              </w:rPr>
              <w:t>68.959,21</w:t>
            </w:r>
          </w:p>
        </w:tc>
      </w:tr>
      <w:tr w:rsidR="00293F62" w:rsidRPr="009548E1" w14:paraId="292A2CA8" w14:textId="77777777" w:rsidTr="005C7D38">
        <w:trPr>
          <w:trHeight w:val="278"/>
          <w:jc w:val="center"/>
        </w:trPr>
        <w:tc>
          <w:tcPr>
            <w:tcW w:w="978" w:type="dxa"/>
            <w:shd w:val="clear" w:color="auto" w:fill="auto"/>
            <w:noWrap/>
            <w:vAlign w:val="center"/>
          </w:tcPr>
          <w:p w14:paraId="0732ECC2" w14:textId="77777777" w:rsidR="00293F62" w:rsidRPr="009548E1" w:rsidRDefault="00293F62" w:rsidP="005C7D38">
            <w:pPr>
              <w:keepNext/>
              <w:jc w:val="center"/>
              <w:rPr>
                <w:sz w:val="20"/>
                <w:szCs w:val="20"/>
              </w:rPr>
            </w:pPr>
            <w:r>
              <w:rPr>
                <w:sz w:val="20"/>
                <w:szCs w:val="20"/>
              </w:rPr>
              <w:t>3.</w:t>
            </w:r>
          </w:p>
        </w:tc>
        <w:tc>
          <w:tcPr>
            <w:tcW w:w="4786" w:type="dxa"/>
            <w:shd w:val="clear" w:color="auto" w:fill="auto"/>
            <w:noWrap/>
            <w:vAlign w:val="center"/>
          </w:tcPr>
          <w:p w14:paraId="47B18121" w14:textId="77777777" w:rsidR="00293F62" w:rsidRPr="009548E1" w:rsidRDefault="00293F62" w:rsidP="005C7D38">
            <w:pPr>
              <w:keepNext/>
              <w:rPr>
                <w:sz w:val="20"/>
                <w:szCs w:val="20"/>
              </w:rPr>
            </w:pPr>
            <w:r w:rsidRPr="009548E1">
              <w:rPr>
                <w:sz w:val="20"/>
                <w:szCs w:val="20"/>
              </w:rPr>
              <w:t>BRODOGRAĐEVNA INDUSTRIJA SPLIT D.D.</w:t>
            </w:r>
          </w:p>
        </w:tc>
        <w:tc>
          <w:tcPr>
            <w:tcW w:w="2816" w:type="dxa"/>
            <w:shd w:val="clear" w:color="auto" w:fill="auto"/>
            <w:noWrap/>
            <w:vAlign w:val="center"/>
          </w:tcPr>
          <w:p w14:paraId="7FB3A0BB" w14:textId="77777777" w:rsidR="00293F62" w:rsidRPr="009548E1" w:rsidRDefault="00293F62" w:rsidP="005C7D38">
            <w:pPr>
              <w:keepNext/>
              <w:jc w:val="right"/>
              <w:rPr>
                <w:sz w:val="20"/>
                <w:szCs w:val="20"/>
              </w:rPr>
            </w:pPr>
            <w:r w:rsidRPr="009548E1">
              <w:rPr>
                <w:sz w:val="20"/>
                <w:szCs w:val="20"/>
              </w:rPr>
              <w:t>167.661,69</w:t>
            </w:r>
          </w:p>
        </w:tc>
      </w:tr>
      <w:tr w:rsidR="00293F62" w:rsidRPr="009548E1" w14:paraId="163757C8" w14:textId="77777777" w:rsidTr="005C7D38">
        <w:trPr>
          <w:trHeight w:val="278"/>
          <w:jc w:val="center"/>
        </w:trPr>
        <w:tc>
          <w:tcPr>
            <w:tcW w:w="978" w:type="dxa"/>
            <w:shd w:val="clear" w:color="auto" w:fill="auto"/>
            <w:noWrap/>
            <w:vAlign w:val="center"/>
          </w:tcPr>
          <w:p w14:paraId="51FFF349" w14:textId="77777777" w:rsidR="00293F62" w:rsidRPr="009548E1" w:rsidRDefault="00293F62" w:rsidP="005C7D38">
            <w:pPr>
              <w:keepNext/>
              <w:jc w:val="center"/>
              <w:rPr>
                <w:sz w:val="20"/>
                <w:szCs w:val="20"/>
              </w:rPr>
            </w:pPr>
            <w:r>
              <w:rPr>
                <w:sz w:val="20"/>
                <w:szCs w:val="20"/>
              </w:rPr>
              <w:t>4</w:t>
            </w:r>
            <w:r w:rsidRPr="009548E1">
              <w:rPr>
                <w:sz w:val="20"/>
                <w:szCs w:val="20"/>
              </w:rPr>
              <w:t>.</w:t>
            </w:r>
          </w:p>
        </w:tc>
        <w:tc>
          <w:tcPr>
            <w:tcW w:w="4786" w:type="dxa"/>
            <w:shd w:val="clear" w:color="auto" w:fill="auto"/>
            <w:noWrap/>
            <w:vAlign w:val="center"/>
          </w:tcPr>
          <w:p w14:paraId="63251195" w14:textId="77777777" w:rsidR="00293F62" w:rsidRPr="009548E1" w:rsidRDefault="00293F62" w:rsidP="005C7D38">
            <w:pPr>
              <w:keepNext/>
              <w:rPr>
                <w:sz w:val="20"/>
                <w:szCs w:val="20"/>
              </w:rPr>
            </w:pPr>
            <w:r w:rsidRPr="009548E1">
              <w:rPr>
                <w:sz w:val="20"/>
                <w:szCs w:val="20"/>
              </w:rPr>
              <w:t>ULJANIK BRODOGRADNJA 1856 D.O.O.</w:t>
            </w:r>
          </w:p>
        </w:tc>
        <w:tc>
          <w:tcPr>
            <w:tcW w:w="2816" w:type="dxa"/>
            <w:shd w:val="clear" w:color="auto" w:fill="auto"/>
            <w:noWrap/>
            <w:vAlign w:val="center"/>
          </w:tcPr>
          <w:p w14:paraId="202067B5" w14:textId="77777777" w:rsidR="00293F62" w:rsidRPr="009548E1" w:rsidRDefault="00293F62" w:rsidP="005C7D38">
            <w:pPr>
              <w:keepNext/>
              <w:jc w:val="right"/>
              <w:rPr>
                <w:sz w:val="20"/>
                <w:szCs w:val="20"/>
              </w:rPr>
            </w:pPr>
            <w:r w:rsidRPr="009548E1">
              <w:rPr>
                <w:sz w:val="20"/>
                <w:szCs w:val="20"/>
              </w:rPr>
              <w:t>31.873,36</w:t>
            </w:r>
          </w:p>
        </w:tc>
      </w:tr>
      <w:tr w:rsidR="00293F62" w:rsidRPr="009548E1" w14:paraId="3E96BAB2" w14:textId="77777777" w:rsidTr="005C7D38">
        <w:trPr>
          <w:trHeight w:val="278"/>
          <w:jc w:val="center"/>
        </w:trPr>
        <w:tc>
          <w:tcPr>
            <w:tcW w:w="978" w:type="dxa"/>
            <w:shd w:val="clear" w:color="auto" w:fill="auto"/>
            <w:noWrap/>
            <w:vAlign w:val="center"/>
          </w:tcPr>
          <w:p w14:paraId="642F6301" w14:textId="77777777" w:rsidR="00293F62" w:rsidRPr="009548E1" w:rsidRDefault="00293F62" w:rsidP="005C7D38">
            <w:pPr>
              <w:keepNext/>
              <w:jc w:val="center"/>
              <w:rPr>
                <w:sz w:val="20"/>
                <w:szCs w:val="20"/>
              </w:rPr>
            </w:pPr>
            <w:r>
              <w:rPr>
                <w:sz w:val="20"/>
                <w:szCs w:val="20"/>
              </w:rPr>
              <w:t>5</w:t>
            </w:r>
            <w:r w:rsidRPr="009548E1">
              <w:rPr>
                <w:sz w:val="20"/>
                <w:szCs w:val="20"/>
              </w:rPr>
              <w:t>.</w:t>
            </w:r>
          </w:p>
        </w:tc>
        <w:tc>
          <w:tcPr>
            <w:tcW w:w="4786" w:type="dxa"/>
            <w:shd w:val="clear" w:color="auto" w:fill="auto"/>
            <w:noWrap/>
            <w:vAlign w:val="center"/>
          </w:tcPr>
          <w:p w14:paraId="08F604EB" w14:textId="77777777" w:rsidR="00293F62" w:rsidRPr="009548E1" w:rsidRDefault="00293F62" w:rsidP="005C7D38">
            <w:pPr>
              <w:keepNext/>
              <w:rPr>
                <w:sz w:val="20"/>
                <w:szCs w:val="20"/>
              </w:rPr>
            </w:pPr>
            <w:r w:rsidRPr="009548E1">
              <w:rPr>
                <w:sz w:val="20"/>
                <w:szCs w:val="20"/>
              </w:rPr>
              <w:t>ULJANIK BRODOGRADILIŠTE D.D. U STEČAJU</w:t>
            </w:r>
          </w:p>
        </w:tc>
        <w:tc>
          <w:tcPr>
            <w:tcW w:w="2816" w:type="dxa"/>
            <w:shd w:val="clear" w:color="auto" w:fill="auto"/>
            <w:noWrap/>
            <w:vAlign w:val="center"/>
          </w:tcPr>
          <w:p w14:paraId="61275FE5" w14:textId="77777777" w:rsidR="00293F62" w:rsidRPr="009548E1" w:rsidRDefault="00293F62" w:rsidP="005C7D38">
            <w:pPr>
              <w:keepNext/>
              <w:jc w:val="right"/>
              <w:rPr>
                <w:sz w:val="20"/>
                <w:szCs w:val="20"/>
              </w:rPr>
            </w:pPr>
            <w:r w:rsidRPr="009548E1">
              <w:rPr>
                <w:sz w:val="20"/>
                <w:szCs w:val="20"/>
              </w:rPr>
              <w:t>111.352,34</w:t>
            </w:r>
          </w:p>
        </w:tc>
      </w:tr>
      <w:tr w:rsidR="00293F62" w:rsidRPr="009548E1" w14:paraId="3E8BC897" w14:textId="77777777" w:rsidTr="005C7D38">
        <w:trPr>
          <w:trHeight w:val="278"/>
          <w:jc w:val="center"/>
        </w:trPr>
        <w:tc>
          <w:tcPr>
            <w:tcW w:w="978" w:type="dxa"/>
            <w:shd w:val="clear" w:color="auto" w:fill="auto"/>
            <w:noWrap/>
            <w:vAlign w:val="center"/>
          </w:tcPr>
          <w:p w14:paraId="378504B9" w14:textId="77777777" w:rsidR="00293F62" w:rsidRPr="009548E1" w:rsidRDefault="00293F62" w:rsidP="005C7D38">
            <w:pPr>
              <w:keepNext/>
              <w:jc w:val="center"/>
              <w:rPr>
                <w:sz w:val="20"/>
                <w:szCs w:val="20"/>
              </w:rPr>
            </w:pPr>
            <w:r>
              <w:rPr>
                <w:sz w:val="20"/>
                <w:szCs w:val="20"/>
              </w:rPr>
              <w:t>6.</w:t>
            </w:r>
          </w:p>
        </w:tc>
        <w:tc>
          <w:tcPr>
            <w:tcW w:w="4786" w:type="dxa"/>
            <w:shd w:val="clear" w:color="auto" w:fill="auto"/>
            <w:noWrap/>
            <w:vAlign w:val="center"/>
          </w:tcPr>
          <w:p w14:paraId="051300AE" w14:textId="77777777" w:rsidR="00293F62" w:rsidRPr="009548E1" w:rsidRDefault="00293F62" w:rsidP="005C7D38">
            <w:pPr>
              <w:keepNext/>
              <w:rPr>
                <w:sz w:val="20"/>
                <w:szCs w:val="20"/>
              </w:rPr>
            </w:pPr>
            <w:r w:rsidRPr="009548E1">
              <w:rPr>
                <w:sz w:val="20"/>
                <w:szCs w:val="20"/>
              </w:rPr>
              <w:t>HEP d.d.</w:t>
            </w:r>
          </w:p>
        </w:tc>
        <w:tc>
          <w:tcPr>
            <w:tcW w:w="2816" w:type="dxa"/>
            <w:shd w:val="clear" w:color="auto" w:fill="auto"/>
            <w:noWrap/>
            <w:vAlign w:val="center"/>
          </w:tcPr>
          <w:p w14:paraId="450DD406" w14:textId="77777777" w:rsidR="00293F62" w:rsidRPr="009548E1" w:rsidRDefault="00293F62" w:rsidP="005C7D38">
            <w:pPr>
              <w:keepNext/>
              <w:jc w:val="right"/>
              <w:rPr>
                <w:sz w:val="20"/>
                <w:szCs w:val="20"/>
              </w:rPr>
            </w:pPr>
            <w:r w:rsidRPr="009548E1">
              <w:rPr>
                <w:sz w:val="20"/>
                <w:szCs w:val="20"/>
              </w:rPr>
              <w:t>604.931,51</w:t>
            </w:r>
          </w:p>
        </w:tc>
      </w:tr>
      <w:tr w:rsidR="00293F62" w:rsidRPr="009548E1" w14:paraId="7BC0AB49" w14:textId="77777777" w:rsidTr="005C7D38">
        <w:trPr>
          <w:trHeight w:val="278"/>
          <w:jc w:val="center"/>
        </w:trPr>
        <w:tc>
          <w:tcPr>
            <w:tcW w:w="978" w:type="dxa"/>
            <w:shd w:val="clear" w:color="auto" w:fill="auto"/>
            <w:noWrap/>
            <w:vAlign w:val="center"/>
          </w:tcPr>
          <w:p w14:paraId="139B1D9A" w14:textId="77777777" w:rsidR="00293F62" w:rsidRPr="009548E1" w:rsidRDefault="00293F62" w:rsidP="005C7D38">
            <w:pPr>
              <w:keepNext/>
              <w:jc w:val="center"/>
              <w:rPr>
                <w:sz w:val="20"/>
                <w:szCs w:val="20"/>
              </w:rPr>
            </w:pPr>
            <w:r>
              <w:rPr>
                <w:sz w:val="20"/>
                <w:szCs w:val="20"/>
              </w:rPr>
              <w:t>7</w:t>
            </w:r>
            <w:r w:rsidRPr="009548E1">
              <w:rPr>
                <w:sz w:val="20"/>
                <w:szCs w:val="20"/>
              </w:rPr>
              <w:t>.</w:t>
            </w:r>
          </w:p>
        </w:tc>
        <w:tc>
          <w:tcPr>
            <w:tcW w:w="4786" w:type="dxa"/>
            <w:shd w:val="clear" w:color="auto" w:fill="auto"/>
            <w:noWrap/>
            <w:vAlign w:val="center"/>
          </w:tcPr>
          <w:p w14:paraId="40CB6121" w14:textId="77777777" w:rsidR="00293F62" w:rsidRPr="009548E1" w:rsidRDefault="00293F62" w:rsidP="005C7D38">
            <w:pPr>
              <w:keepNext/>
              <w:rPr>
                <w:sz w:val="20"/>
                <w:szCs w:val="20"/>
              </w:rPr>
            </w:pPr>
            <w:r w:rsidRPr="009548E1">
              <w:rPr>
                <w:sz w:val="20"/>
                <w:szCs w:val="20"/>
              </w:rPr>
              <w:t>BRODOTROGIR CRUISE D.O.O.</w:t>
            </w:r>
          </w:p>
        </w:tc>
        <w:tc>
          <w:tcPr>
            <w:tcW w:w="2816" w:type="dxa"/>
            <w:shd w:val="clear" w:color="auto" w:fill="auto"/>
            <w:noWrap/>
            <w:vAlign w:val="center"/>
          </w:tcPr>
          <w:p w14:paraId="555A1411" w14:textId="77777777" w:rsidR="00293F62" w:rsidRPr="009548E1" w:rsidRDefault="00293F62" w:rsidP="005C7D38">
            <w:pPr>
              <w:keepNext/>
              <w:jc w:val="right"/>
              <w:rPr>
                <w:sz w:val="20"/>
                <w:szCs w:val="20"/>
              </w:rPr>
            </w:pPr>
            <w:r w:rsidRPr="009548E1">
              <w:rPr>
                <w:sz w:val="20"/>
                <w:szCs w:val="20"/>
              </w:rPr>
              <w:t>6.636,69</w:t>
            </w:r>
          </w:p>
        </w:tc>
      </w:tr>
      <w:tr w:rsidR="00293F62" w:rsidRPr="009548E1" w14:paraId="2E7B6F47" w14:textId="77777777" w:rsidTr="005C7D38">
        <w:trPr>
          <w:trHeight w:val="278"/>
          <w:jc w:val="center"/>
        </w:trPr>
        <w:tc>
          <w:tcPr>
            <w:tcW w:w="978" w:type="dxa"/>
            <w:shd w:val="clear" w:color="auto" w:fill="auto"/>
            <w:noWrap/>
            <w:vAlign w:val="center"/>
          </w:tcPr>
          <w:p w14:paraId="29780AEE" w14:textId="77777777" w:rsidR="00293F62" w:rsidRPr="009548E1" w:rsidRDefault="00293F62" w:rsidP="005C7D38">
            <w:pPr>
              <w:keepNext/>
              <w:jc w:val="center"/>
              <w:rPr>
                <w:sz w:val="20"/>
                <w:szCs w:val="20"/>
              </w:rPr>
            </w:pPr>
          </w:p>
        </w:tc>
        <w:tc>
          <w:tcPr>
            <w:tcW w:w="4786" w:type="dxa"/>
            <w:shd w:val="clear" w:color="auto" w:fill="auto"/>
            <w:noWrap/>
            <w:vAlign w:val="center"/>
          </w:tcPr>
          <w:p w14:paraId="7D48063A" w14:textId="77777777" w:rsidR="00293F62" w:rsidRPr="009548E1" w:rsidRDefault="00293F62" w:rsidP="005C7D38">
            <w:pPr>
              <w:keepNext/>
              <w:rPr>
                <w:b/>
                <w:sz w:val="20"/>
                <w:szCs w:val="20"/>
              </w:rPr>
            </w:pPr>
            <w:r w:rsidRPr="009548E1">
              <w:rPr>
                <w:b/>
                <w:sz w:val="20"/>
                <w:szCs w:val="20"/>
              </w:rPr>
              <w:t>UKUPNO</w:t>
            </w:r>
          </w:p>
        </w:tc>
        <w:tc>
          <w:tcPr>
            <w:tcW w:w="2816" w:type="dxa"/>
            <w:shd w:val="clear" w:color="auto" w:fill="auto"/>
            <w:noWrap/>
            <w:vAlign w:val="center"/>
          </w:tcPr>
          <w:p w14:paraId="4F23E0FF" w14:textId="77777777" w:rsidR="00293F62" w:rsidRPr="009548E1" w:rsidRDefault="00293F62" w:rsidP="005C7D38">
            <w:pPr>
              <w:keepNext/>
              <w:jc w:val="right"/>
              <w:rPr>
                <w:b/>
                <w:sz w:val="20"/>
                <w:szCs w:val="20"/>
              </w:rPr>
            </w:pPr>
            <w:r w:rsidRPr="009548E1">
              <w:rPr>
                <w:b/>
                <w:sz w:val="20"/>
                <w:szCs w:val="20"/>
              </w:rPr>
              <w:t>1.507.510,40</w:t>
            </w:r>
          </w:p>
        </w:tc>
      </w:tr>
    </w:tbl>
    <w:p w14:paraId="5068CC10" w14:textId="77777777" w:rsidR="00293F62" w:rsidRPr="009548E1" w:rsidRDefault="00293F62" w:rsidP="00293F62">
      <w:pPr>
        <w:keepNext/>
        <w:jc w:val="both"/>
        <w:rPr>
          <w:sz w:val="28"/>
          <w:szCs w:val="28"/>
        </w:rPr>
      </w:pPr>
    </w:p>
    <w:p w14:paraId="5F695069" w14:textId="77777777" w:rsidR="00293F62" w:rsidRDefault="00293F62" w:rsidP="00293F62">
      <w:pPr>
        <w:widowControl w:val="0"/>
        <w:jc w:val="both"/>
      </w:pPr>
      <w:r w:rsidRPr="00687BC2">
        <w:t xml:space="preserve">Smanjenje potraživanja za upravne i administrativne pristojbe, pristojbe po posebnim propisima i naknade jednim dijelom se odnosi na </w:t>
      </w:r>
      <w:proofErr w:type="spellStart"/>
      <w:r w:rsidRPr="00687BC2">
        <w:t>isknjiženje</w:t>
      </w:r>
      <w:proofErr w:type="spellEnd"/>
      <w:r w:rsidRPr="00687BC2">
        <w:t xml:space="preserve"> potraživanja prema društvu Uljanik d.d. u stečaju iz poslovnih knjiga Ministarstva financija. Naime, Trgovački sud u Pazinu je dana 13. studenog 2023. godine donio Rješenje o zaključenju stečajnog postupka nad društvom Uljanik d.d. u stečaju, te je s istim datumom isknjiženo potraživanje prema navedenom društvu u ukupnom iznosu od 339.539.842,32 eura, od čega se na potraživanja za naknade za izdana jamstva odnosi iznos od 4.994.435,90 eura.</w:t>
      </w:r>
    </w:p>
    <w:p w14:paraId="0F8EC266" w14:textId="77777777" w:rsidR="00293F62" w:rsidRPr="009548E1" w:rsidRDefault="00293F62" w:rsidP="00293F62">
      <w:pPr>
        <w:widowControl w:val="0"/>
        <w:jc w:val="both"/>
      </w:pPr>
    </w:p>
    <w:p w14:paraId="72C47F72" w14:textId="77777777" w:rsidR="00293F62" w:rsidRPr="009548E1" w:rsidRDefault="00293F62" w:rsidP="00293F62">
      <w:pPr>
        <w:widowControl w:val="0"/>
        <w:jc w:val="center"/>
        <w:rPr>
          <w:sz w:val="28"/>
          <w:szCs w:val="28"/>
        </w:rPr>
      </w:pPr>
      <w:r>
        <w:rPr>
          <w:sz w:val="28"/>
          <w:szCs w:val="28"/>
        </w:rPr>
        <w:t>Bilješka 18</w:t>
      </w:r>
      <w:r w:rsidRPr="009548E1">
        <w:rPr>
          <w:sz w:val="28"/>
          <w:szCs w:val="28"/>
        </w:rPr>
        <w:t>.</w:t>
      </w:r>
    </w:p>
    <w:p w14:paraId="775A21AF" w14:textId="77777777" w:rsidR="00293F62" w:rsidRPr="009548E1" w:rsidRDefault="00293F62" w:rsidP="00293F62">
      <w:pPr>
        <w:widowControl w:val="0"/>
        <w:spacing w:after="240"/>
        <w:jc w:val="center"/>
        <w:rPr>
          <w:sz w:val="28"/>
          <w:szCs w:val="28"/>
        </w:rPr>
      </w:pPr>
      <w:r w:rsidRPr="009548E1">
        <w:rPr>
          <w:sz w:val="28"/>
          <w:szCs w:val="28"/>
        </w:rPr>
        <w:t>Šifra 166 Potraživanja za prihode od prodaje proizvoda i robe te pruženih usluga i za povrat po protestiranim jamstvima</w:t>
      </w:r>
    </w:p>
    <w:p w14:paraId="57CB3EB8" w14:textId="77777777" w:rsidR="00293F62" w:rsidRPr="009548E1" w:rsidRDefault="00293F62" w:rsidP="00293F62">
      <w:pPr>
        <w:widowControl w:val="0"/>
        <w:jc w:val="both"/>
      </w:pPr>
      <w:r w:rsidRPr="009548E1">
        <w:t xml:space="preserve">Potraživanja za prihode od prodaje proizvoda i robe te pruženih usluga i za povrat po protestiranim jamstvima na dan 31. prosinca 2023. godine iznose 298.442.599,75 eura, dok su na dan 1. siječnja 2023. iznosila 662.388.128,81 eura što predstavlja smanjenje od 54,9% u promatranom razdoblju. </w:t>
      </w:r>
    </w:p>
    <w:p w14:paraId="2B31F455" w14:textId="77777777" w:rsidR="00293F62" w:rsidRPr="009548E1" w:rsidRDefault="00293F62" w:rsidP="00293F62">
      <w:pPr>
        <w:widowControl w:val="0"/>
        <w:jc w:val="both"/>
      </w:pPr>
    </w:p>
    <w:p w14:paraId="36773267" w14:textId="77777777" w:rsidR="00293F62" w:rsidRPr="009548E1" w:rsidRDefault="00293F62" w:rsidP="00293F62">
      <w:pPr>
        <w:widowControl w:val="0"/>
        <w:jc w:val="both"/>
      </w:pPr>
      <w:r w:rsidRPr="009548E1">
        <w:t xml:space="preserve">Najznačajniji dio odnosi se na potraživanja </w:t>
      </w:r>
      <w:r>
        <w:t>od tuzemnih trgovačkih društava</w:t>
      </w:r>
      <w:r w:rsidRPr="009548E1">
        <w:t xml:space="preserve"> izvan javnog sektora za povrate po protestiranim jamstvi</w:t>
      </w:r>
      <w:r>
        <w:t>ma kako je prikazano u Tablici 5</w:t>
      </w:r>
      <w:r w:rsidRPr="009548E1">
        <w:t>.</w:t>
      </w:r>
    </w:p>
    <w:p w14:paraId="15D564E0" w14:textId="77777777" w:rsidR="00293F62" w:rsidRPr="009548E1" w:rsidRDefault="00293F62" w:rsidP="00293F62">
      <w:pPr>
        <w:keepNext/>
        <w:jc w:val="both"/>
      </w:pPr>
    </w:p>
    <w:p w14:paraId="368B957B" w14:textId="77777777" w:rsidR="00293F62" w:rsidRPr="009548E1" w:rsidRDefault="00293F62" w:rsidP="00293F62">
      <w:pPr>
        <w:keepNext/>
        <w:jc w:val="both"/>
        <w:rPr>
          <w:b/>
          <w:sz w:val="20"/>
          <w:szCs w:val="20"/>
        </w:rPr>
      </w:pPr>
      <w:r w:rsidRPr="009548E1">
        <w:rPr>
          <w:b/>
          <w:sz w:val="20"/>
          <w:szCs w:val="20"/>
        </w:rPr>
        <w:t>Tablica 6.</w:t>
      </w:r>
      <w:r>
        <w:rPr>
          <w:b/>
          <w:sz w:val="20"/>
          <w:szCs w:val="20"/>
        </w:rPr>
        <w:t xml:space="preserve"> P</w:t>
      </w:r>
      <w:r w:rsidRPr="00601FA0">
        <w:rPr>
          <w:b/>
          <w:sz w:val="20"/>
          <w:szCs w:val="20"/>
        </w:rPr>
        <w:t>otraživanja od tuzemnih trgovačkih društava izvan javnog sektora za povrate po protestiranim jamstvima</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786"/>
        <w:gridCol w:w="2736"/>
      </w:tblGrid>
      <w:tr w:rsidR="00293F62" w:rsidRPr="009548E1" w14:paraId="20C5F312" w14:textId="77777777" w:rsidTr="005C7D38">
        <w:trPr>
          <w:trHeight w:val="510"/>
          <w:jc w:val="center"/>
        </w:trPr>
        <w:tc>
          <w:tcPr>
            <w:tcW w:w="978" w:type="dxa"/>
            <w:shd w:val="clear" w:color="auto" w:fill="auto"/>
            <w:vAlign w:val="center"/>
            <w:hideMark/>
          </w:tcPr>
          <w:p w14:paraId="23F25AB0" w14:textId="77777777" w:rsidR="00293F62" w:rsidRPr="009548E1" w:rsidRDefault="00293F62" w:rsidP="005C7D38">
            <w:pPr>
              <w:keepNext/>
              <w:jc w:val="center"/>
              <w:rPr>
                <w:b/>
                <w:bCs/>
                <w:sz w:val="18"/>
                <w:szCs w:val="20"/>
              </w:rPr>
            </w:pPr>
            <w:r w:rsidRPr="009548E1">
              <w:rPr>
                <w:b/>
                <w:bCs/>
                <w:sz w:val="18"/>
                <w:szCs w:val="20"/>
              </w:rPr>
              <w:t>Red. broj</w:t>
            </w:r>
          </w:p>
        </w:tc>
        <w:tc>
          <w:tcPr>
            <w:tcW w:w="4786" w:type="dxa"/>
            <w:shd w:val="clear" w:color="auto" w:fill="auto"/>
            <w:noWrap/>
            <w:vAlign w:val="center"/>
            <w:hideMark/>
          </w:tcPr>
          <w:p w14:paraId="238DE4F6" w14:textId="77777777" w:rsidR="00293F62" w:rsidRPr="009548E1" w:rsidRDefault="00293F62" w:rsidP="005C7D38">
            <w:pPr>
              <w:keepNext/>
              <w:jc w:val="center"/>
              <w:rPr>
                <w:b/>
                <w:bCs/>
                <w:sz w:val="18"/>
                <w:szCs w:val="20"/>
              </w:rPr>
            </w:pPr>
            <w:r w:rsidRPr="009548E1">
              <w:rPr>
                <w:b/>
                <w:bCs/>
                <w:sz w:val="18"/>
                <w:szCs w:val="20"/>
              </w:rPr>
              <w:t>Dužnik</w:t>
            </w:r>
          </w:p>
        </w:tc>
        <w:tc>
          <w:tcPr>
            <w:tcW w:w="2736" w:type="dxa"/>
            <w:shd w:val="clear" w:color="auto" w:fill="auto"/>
            <w:vAlign w:val="center"/>
            <w:hideMark/>
          </w:tcPr>
          <w:p w14:paraId="15956EBD" w14:textId="77777777" w:rsidR="00293F62" w:rsidRPr="009548E1" w:rsidRDefault="00293F62" w:rsidP="005C7D38">
            <w:pPr>
              <w:keepNext/>
              <w:jc w:val="center"/>
              <w:rPr>
                <w:b/>
                <w:bCs/>
                <w:sz w:val="18"/>
                <w:szCs w:val="20"/>
              </w:rPr>
            </w:pPr>
            <w:r w:rsidRPr="009548E1">
              <w:rPr>
                <w:b/>
                <w:bCs/>
                <w:sz w:val="18"/>
                <w:szCs w:val="20"/>
              </w:rPr>
              <w:t>Stanje ukupnih potraživanja na 31.12.2023.</w:t>
            </w:r>
          </w:p>
        </w:tc>
      </w:tr>
      <w:tr w:rsidR="00293F62" w:rsidRPr="009548E1" w14:paraId="464370A0" w14:textId="77777777" w:rsidTr="005C7D38">
        <w:trPr>
          <w:trHeight w:val="278"/>
          <w:jc w:val="center"/>
        </w:trPr>
        <w:tc>
          <w:tcPr>
            <w:tcW w:w="978" w:type="dxa"/>
            <w:shd w:val="clear" w:color="auto" w:fill="auto"/>
            <w:noWrap/>
            <w:vAlign w:val="center"/>
            <w:hideMark/>
          </w:tcPr>
          <w:p w14:paraId="650ACC08" w14:textId="77777777" w:rsidR="00293F62" w:rsidRPr="009548E1" w:rsidRDefault="00293F62" w:rsidP="005C7D38">
            <w:pPr>
              <w:keepNext/>
              <w:jc w:val="center"/>
              <w:rPr>
                <w:sz w:val="20"/>
                <w:szCs w:val="20"/>
              </w:rPr>
            </w:pPr>
            <w:r w:rsidRPr="009548E1">
              <w:rPr>
                <w:sz w:val="20"/>
                <w:szCs w:val="20"/>
              </w:rPr>
              <w:t>1.</w:t>
            </w:r>
          </w:p>
        </w:tc>
        <w:tc>
          <w:tcPr>
            <w:tcW w:w="4786" w:type="dxa"/>
            <w:shd w:val="clear" w:color="auto" w:fill="auto"/>
            <w:noWrap/>
            <w:vAlign w:val="center"/>
            <w:hideMark/>
          </w:tcPr>
          <w:p w14:paraId="6A424E95" w14:textId="77777777" w:rsidR="00293F62" w:rsidRPr="009548E1" w:rsidRDefault="00293F62" w:rsidP="005C7D38">
            <w:pPr>
              <w:keepNext/>
              <w:rPr>
                <w:sz w:val="20"/>
                <w:szCs w:val="20"/>
              </w:rPr>
            </w:pPr>
            <w:r w:rsidRPr="009548E1">
              <w:rPr>
                <w:sz w:val="20"/>
                <w:szCs w:val="20"/>
              </w:rPr>
              <w:t>DRNIŠPLAST</w:t>
            </w:r>
          </w:p>
        </w:tc>
        <w:tc>
          <w:tcPr>
            <w:tcW w:w="2736" w:type="dxa"/>
            <w:shd w:val="clear" w:color="auto" w:fill="auto"/>
            <w:noWrap/>
            <w:vAlign w:val="center"/>
            <w:hideMark/>
          </w:tcPr>
          <w:p w14:paraId="0CCD97C1" w14:textId="77777777" w:rsidR="00293F62" w:rsidRPr="009548E1" w:rsidRDefault="00293F62" w:rsidP="005C7D38">
            <w:pPr>
              <w:jc w:val="right"/>
              <w:rPr>
                <w:sz w:val="20"/>
                <w:szCs w:val="20"/>
              </w:rPr>
            </w:pPr>
            <w:r w:rsidRPr="009548E1">
              <w:rPr>
                <w:sz w:val="20"/>
                <w:szCs w:val="20"/>
              </w:rPr>
              <w:t>2.460.028,77</w:t>
            </w:r>
          </w:p>
        </w:tc>
      </w:tr>
      <w:tr w:rsidR="00293F62" w:rsidRPr="009548E1" w14:paraId="788E40F8" w14:textId="77777777" w:rsidTr="005C7D38">
        <w:trPr>
          <w:trHeight w:val="278"/>
          <w:jc w:val="center"/>
        </w:trPr>
        <w:tc>
          <w:tcPr>
            <w:tcW w:w="978" w:type="dxa"/>
            <w:shd w:val="clear" w:color="auto" w:fill="auto"/>
            <w:noWrap/>
            <w:vAlign w:val="center"/>
          </w:tcPr>
          <w:p w14:paraId="244475BB" w14:textId="77777777" w:rsidR="00293F62" w:rsidRPr="009548E1" w:rsidRDefault="00293F62" w:rsidP="005C7D38">
            <w:pPr>
              <w:keepNext/>
              <w:jc w:val="center"/>
              <w:rPr>
                <w:sz w:val="20"/>
                <w:szCs w:val="20"/>
              </w:rPr>
            </w:pPr>
            <w:r w:rsidRPr="009548E1">
              <w:rPr>
                <w:sz w:val="20"/>
                <w:szCs w:val="20"/>
              </w:rPr>
              <w:t>2.</w:t>
            </w:r>
          </w:p>
        </w:tc>
        <w:tc>
          <w:tcPr>
            <w:tcW w:w="4786" w:type="dxa"/>
            <w:shd w:val="clear" w:color="auto" w:fill="auto"/>
            <w:noWrap/>
            <w:vAlign w:val="center"/>
          </w:tcPr>
          <w:p w14:paraId="716544F9" w14:textId="77777777" w:rsidR="00293F62" w:rsidRPr="009548E1" w:rsidRDefault="00293F62" w:rsidP="005C7D38">
            <w:pPr>
              <w:keepNext/>
              <w:rPr>
                <w:sz w:val="20"/>
                <w:szCs w:val="20"/>
              </w:rPr>
            </w:pPr>
            <w:r w:rsidRPr="009548E1">
              <w:rPr>
                <w:sz w:val="20"/>
                <w:szCs w:val="20"/>
              </w:rPr>
              <w:t>3. MAJ BRODOGRADILIŠTE</w:t>
            </w:r>
          </w:p>
        </w:tc>
        <w:tc>
          <w:tcPr>
            <w:tcW w:w="2736" w:type="dxa"/>
            <w:shd w:val="clear" w:color="auto" w:fill="auto"/>
            <w:noWrap/>
            <w:vAlign w:val="center"/>
          </w:tcPr>
          <w:p w14:paraId="5513ED95" w14:textId="77777777" w:rsidR="00293F62" w:rsidRPr="009548E1" w:rsidRDefault="00293F62" w:rsidP="005C7D38">
            <w:pPr>
              <w:jc w:val="right"/>
              <w:rPr>
                <w:sz w:val="20"/>
                <w:szCs w:val="20"/>
              </w:rPr>
            </w:pPr>
            <w:r w:rsidRPr="009548E1">
              <w:rPr>
                <w:sz w:val="20"/>
                <w:szCs w:val="20"/>
              </w:rPr>
              <w:t>31.946.653,36</w:t>
            </w:r>
          </w:p>
        </w:tc>
      </w:tr>
      <w:tr w:rsidR="00293F62" w:rsidRPr="009548E1" w14:paraId="30538D6E" w14:textId="77777777" w:rsidTr="005C7D38">
        <w:trPr>
          <w:trHeight w:val="278"/>
          <w:jc w:val="center"/>
        </w:trPr>
        <w:tc>
          <w:tcPr>
            <w:tcW w:w="978" w:type="dxa"/>
            <w:shd w:val="clear" w:color="auto" w:fill="auto"/>
            <w:noWrap/>
            <w:vAlign w:val="center"/>
          </w:tcPr>
          <w:p w14:paraId="045F741E" w14:textId="77777777" w:rsidR="00293F62" w:rsidRPr="009548E1" w:rsidRDefault="00293F62" w:rsidP="005C7D38">
            <w:pPr>
              <w:keepNext/>
              <w:jc w:val="center"/>
              <w:rPr>
                <w:sz w:val="20"/>
                <w:szCs w:val="20"/>
              </w:rPr>
            </w:pPr>
            <w:r w:rsidRPr="009548E1">
              <w:rPr>
                <w:sz w:val="20"/>
                <w:szCs w:val="20"/>
              </w:rPr>
              <w:t>3.</w:t>
            </w:r>
          </w:p>
        </w:tc>
        <w:tc>
          <w:tcPr>
            <w:tcW w:w="4786" w:type="dxa"/>
            <w:shd w:val="clear" w:color="auto" w:fill="auto"/>
            <w:noWrap/>
            <w:vAlign w:val="center"/>
          </w:tcPr>
          <w:p w14:paraId="5CF6467D" w14:textId="77777777" w:rsidR="00293F62" w:rsidRPr="009548E1" w:rsidRDefault="00293F62" w:rsidP="005C7D38">
            <w:pPr>
              <w:keepNext/>
              <w:rPr>
                <w:sz w:val="20"/>
                <w:szCs w:val="20"/>
              </w:rPr>
            </w:pPr>
            <w:r w:rsidRPr="009548E1">
              <w:rPr>
                <w:sz w:val="20"/>
                <w:szCs w:val="20"/>
              </w:rPr>
              <w:t>LJEČILIŠTE TOPUSKO</w:t>
            </w:r>
          </w:p>
        </w:tc>
        <w:tc>
          <w:tcPr>
            <w:tcW w:w="2736" w:type="dxa"/>
            <w:shd w:val="clear" w:color="auto" w:fill="auto"/>
            <w:noWrap/>
            <w:vAlign w:val="center"/>
          </w:tcPr>
          <w:p w14:paraId="6EFB0DF6" w14:textId="77777777" w:rsidR="00293F62" w:rsidRPr="009548E1" w:rsidRDefault="00293F62" w:rsidP="005C7D38">
            <w:pPr>
              <w:jc w:val="right"/>
              <w:rPr>
                <w:sz w:val="20"/>
                <w:szCs w:val="20"/>
              </w:rPr>
            </w:pPr>
            <w:r w:rsidRPr="009548E1">
              <w:rPr>
                <w:sz w:val="20"/>
                <w:szCs w:val="20"/>
              </w:rPr>
              <w:t>4.653.842,82</w:t>
            </w:r>
          </w:p>
        </w:tc>
      </w:tr>
      <w:tr w:rsidR="00293F62" w:rsidRPr="009548E1" w14:paraId="5C0CA714" w14:textId="77777777" w:rsidTr="005C7D38">
        <w:trPr>
          <w:trHeight w:val="278"/>
          <w:jc w:val="center"/>
        </w:trPr>
        <w:tc>
          <w:tcPr>
            <w:tcW w:w="978" w:type="dxa"/>
            <w:shd w:val="clear" w:color="auto" w:fill="auto"/>
            <w:noWrap/>
            <w:vAlign w:val="center"/>
          </w:tcPr>
          <w:p w14:paraId="10658091" w14:textId="77777777" w:rsidR="00293F62" w:rsidRPr="009548E1" w:rsidRDefault="00293F62" w:rsidP="005C7D38">
            <w:pPr>
              <w:keepNext/>
              <w:jc w:val="center"/>
              <w:rPr>
                <w:sz w:val="20"/>
                <w:szCs w:val="20"/>
              </w:rPr>
            </w:pPr>
            <w:r w:rsidRPr="009548E1">
              <w:rPr>
                <w:sz w:val="20"/>
                <w:szCs w:val="20"/>
              </w:rPr>
              <w:t>4.</w:t>
            </w:r>
          </w:p>
        </w:tc>
        <w:tc>
          <w:tcPr>
            <w:tcW w:w="4786" w:type="dxa"/>
            <w:shd w:val="clear" w:color="auto" w:fill="auto"/>
            <w:noWrap/>
            <w:vAlign w:val="center"/>
          </w:tcPr>
          <w:p w14:paraId="2101F8B8" w14:textId="77777777" w:rsidR="00293F62" w:rsidRPr="009548E1" w:rsidRDefault="00293F62" w:rsidP="005C7D38">
            <w:pPr>
              <w:keepNext/>
              <w:rPr>
                <w:sz w:val="20"/>
                <w:szCs w:val="20"/>
              </w:rPr>
            </w:pPr>
            <w:r w:rsidRPr="009548E1">
              <w:rPr>
                <w:sz w:val="20"/>
                <w:szCs w:val="20"/>
              </w:rPr>
              <w:t>HUM</w:t>
            </w:r>
          </w:p>
        </w:tc>
        <w:tc>
          <w:tcPr>
            <w:tcW w:w="2736" w:type="dxa"/>
            <w:shd w:val="clear" w:color="auto" w:fill="auto"/>
            <w:noWrap/>
            <w:vAlign w:val="center"/>
          </w:tcPr>
          <w:p w14:paraId="63AF6D9A" w14:textId="77777777" w:rsidR="00293F62" w:rsidRPr="009548E1" w:rsidRDefault="00293F62" w:rsidP="005C7D38">
            <w:pPr>
              <w:jc w:val="right"/>
              <w:rPr>
                <w:sz w:val="20"/>
                <w:szCs w:val="20"/>
              </w:rPr>
            </w:pPr>
            <w:r w:rsidRPr="009548E1">
              <w:rPr>
                <w:sz w:val="20"/>
                <w:szCs w:val="20"/>
              </w:rPr>
              <w:t>3.035.541,51</w:t>
            </w:r>
          </w:p>
        </w:tc>
      </w:tr>
      <w:tr w:rsidR="00293F62" w:rsidRPr="009548E1" w14:paraId="0F33CFD6" w14:textId="77777777" w:rsidTr="005C7D38">
        <w:trPr>
          <w:trHeight w:val="278"/>
          <w:jc w:val="center"/>
        </w:trPr>
        <w:tc>
          <w:tcPr>
            <w:tcW w:w="978" w:type="dxa"/>
            <w:shd w:val="clear" w:color="auto" w:fill="auto"/>
            <w:noWrap/>
            <w:vAlign w:val="center"/>
          </w:tcPr>
          <w:p w14:paraId="6C7286F3" w14:textId="77777777" w:rsidR="00293F62" w:rsidRPr="009548E1" w:rsidRDefault="00293F62" w:rsidP="005C7D38">
            <w:pPr>
              <w:keepNext/>
              <w:jc w:val="center"/>
              <w:rPr>
                <w:sz w:val="20"/>
                <w:szCs w:val="20"/>
              </w:rPr>
            </w:pPr>
            <w:r w:rsidRPr="009548E1">
              <w:rPr>
                <w:sz w:val="20"/>
                <w:szCs w:val="20"/>
              </w:rPr>
              <w:t>5.</w:t>
            </w:r>
          </w:p>
        </w:tc>
        <w:tc>
          <w:tcPr>
            <w:tcW w:w="4786" w:type="dxa"/>
            <w:shd w:val="clear" w:color="auto" w:fill="auto"/>
            <w:noWrap/>
            <w:vAlign w:val="center"/>
          </w:tcPr>
          <w:p w14:paraId="00B00C92" w14:textId="77777777" w:rsidR="00293F62" w:rsidRPr="009548E1" w:rsidRDefault="00293F62" w:rsidP="005C7D38">
            <w:pPr>
              <w:keepNext/>
              <w:rPr>
                <w:sz w:val="20"/>
                <w:szCs w:val="20"/>
              </w:rPr>
            </w:pPr>
            <w:r w:rsidRPr="009548E1">
              <w:rPr>
                <w:sz w:val="20"/>
                <w:szCs w:val="20"/>
              </w:rPr>
              <w:t>OLMA MAKARSKA</w:t>
            </w:r>
          </w:p>
        </w:tc>
        <w:tc>
          <w:tcPr>
            <w:tcW w:w="2736" w:type="dxa"/>
            <w:shd w:val="clear" w:color="auto" w:fill="auto"/>
            <w:noWrap/>
            <w:vAlign w:val="center"/>
          </w:tcPr>
          <w:p w14:paraId="7CDEECEA" w14:textId="77777777" w:rsidR="00293F62" w:rsidRPr="009548E1" w:rsidRDefault="00293F62" w:rsidP="005C7D38">
            <w:pPr>
              <w:jc w:val="right"/>
              <w:rPr>
                <w:sz w:val="20"/>
                <w:szCs w:val="20"/>
              </w:rPr>
            </w:pPr>
            <w:r w:rsidRPr="009548E1">
              <w:rPr>
                <w:sz w:val="20"/>
                <w:szCs w:val="20"/>
              </w:rPr>
              <w:t>766.493,65</w:t>
            </w:r>
          </w:p>
        </w:tc>
      </w:tr>
      <w:tr w:rsidR="00293F62" w:rsidRPr="009548E1" w14:paraId="16D542ED" w14:textId="77777777" w:rsidTr="005C7D38">
        <w:trPr>
          <w:trHeight w:val="278"/>
          <w:jc w:val="center"/>
        </w:trPr>
        <w:tc>
          <w:tcPr>
            <w:tcW w:w="978" w:type="dxa"/>
            <w:shd w:val="clear" w:color="auto" w:fill="auto"/>
            <w:noWrap/>
            <w:vAlign w:val="center"/>
          </w:tcPr>
          <w:p w14:paraId="51B9094D" w14:textId="77777777" w:rsidR="00293F62" w:rsidRPr="009548E1" w:rsidRDefault="00293F62" w:rsidP="005C7D38">
            <w:pPr>
              <w:keepNext/>
              <w:jc w:val="center"/>
              <w:rPr>
                <w:sz w:val="20"/>
                <w:szCs w:val="20"/>
              </w:rPr>
            </w:pPr>
            <w:r w:rsidRPr="009548E1">
              <w:rPr>
                <w:sz w:val="20"/>
                <w:szCs w:val="20"/>
              </w:rPr>
              <w:t>6.</w:t>
            </w:r>
          </w:p>
        </w:tc>
        <w:tc>
          <w:tcPr>
            <w:tcW w:w="4786" w:type="dxa"/>
            <w:shd w:val="clear" w:color="auto" w:fill="auto"/>
            <w:noWrap/>
            <w:vAlign w:val="center"/>
          </w:tcPr>
          <w:p w14:paraId="42A6B088" w14:textId="77777777" w:rsidR="00293F62" w:rsidRPr="009548E1" w:rsidRDefault="00293F62" w:rsidP="005C7D38">
            <w:pPr>
              <w:keepNext/>
              <w:rPr>
                <w:sz w:val="20"/>
                <w:szCs w:val="20"/>
              </w:rPr>
            </w:pPr>
            <w:r w:rsidRPr="009548E1">
              <w:rPr>
                <w:sz w:val="20"/>
                <w:szCs w:val="20"/>
              </w:rPr>
              <w:t>ULJANIK BRODOGRADILIŠTE</w:t>
            </w:r>
          </w:p>
        </w:tc>
        <w:tc>
          <w:tcPr>
            <w:tcW w:w="2736" w:type="dxa"/>
            <w:shd w:val="clear" w:color="auto" w:fill="auto"/>
            <w:noWrap/>
            <w:vAlign w:val="center"/>
          </w:tcPr>
          <w:p w14:paraId="0FCF17EB" w14:textId="77777777" w:rsidR="00293F62" w:rsidRPr="009548E1" w:rsidRDefault="00293F62" w:rsidP="005C7D38">
            <w:pPr>
              <w:jc w:val="right"/>
              <w:rPr>
                <w:sz w:val="20"/>
                <w:szCs w:val="20"/>
              </w:rPr>
            </w:pPr>
            <w:r w:rsidRPr="009548E1">
              <w:rPr>
                <w:sz w:val="20"/>
                <w:szCs w:val="20"/>
              </w:rPr>
              <w:t>136.577.657,32</w:t>
            </w:r>
          </w:p>
        </w:tc>
      </w:tr>
      <w:tr w:rsidR="00293F62" w:rsidRPr="009548E1" w14:paraId="10ABD478" w14:textId="77777777" w:rsidTr="005C7D38">
        <w:trPr>
          <w:trHeight w:val="278"/>
          <w:jc w:val="center"/>
        </w:trPr>
        <w:tc>
          <w:tcPr>
            <w:tcW w:w="978" w:type="dxa"/>
            <w:shd w:val="clear" w:color="auto" w:fill="auto"/>
            <w:noWrap/>
            <w:vAlign w:val="center"/>
          </w:tcPr>
          <w:p w14:paraId="0E754C8D" w14:textId="77777777" w:rsidR="00293F62" w:rsidRPr="009548E1" w:rsidRDefault="00293F62" w:rsidP="005C7D38">
            <w:pPr>
              <w:keepNext/>
              <w:jc w:val="center"/>
              <w:rPr>
                <w:sz w:val="20"/>
                <w:szCs w:val="20"/>
              </w:rPr>
            </w:pPr>
            <w:r w:rsidRPr="009548E1">
              <w:rPr>
                <w:sz w:val="20"/>
                <w:szCs w:val="20"/>
              </w:rPr>
              <w:t>7.</w:t>
            </w:r>
          </w:p>
        </w:tc>
        <w:tc>
          <w:tcPr>
            <w:tcW w:w="4786" w:type="dxa"/>
            <w:shd w:val="clear" w:color="auto" w:fill="auto"/>
            <w:noWrap/>
            <w:vAlign w:val="center"/>
          </w:tcPr>
          <w:p w14:paraId="45067784" w14:textId="77777777" w:rsidR="00293F62" w:rsidRPr="009548E1" w:rsidRDefault="00293F62" w:rsidP="005C7D38">
            <w:pPr>
              <w:keepNext/>
              <w:rPr>
                <w:sz w:val="20"/>
                <w:szCs w:val="20"/>
              </w:rPr>
            </w:pPr>
            <w:r w:rsidRPr="009548E1">
              <w:rPr>
                <w:sz w:val="20"/>
                <w:szCs w:val="20"/>
              </w:rPr>
              <w:t>HOTEL NOVI, NOVI VINODOLSKI</w:t>
            </w:r>
          </w:p>
        </w:tc>
        <w:tc>
          <w:tcPr>
            <w:tcW w:w="2736" w:type="dxa"/>
            <w:shd w:val="clear" w:color="auto" w:fill="auto"/>
            <w:noWrap/>
            <w:vAlign w:val="center"/>
          </w:tcPr>
          <w:p w14:paraId="2423E8EF" w14:textId="77777777" w:rsidR="00293F62" w:rsidRPr="009548E1" w:rsidRDefault="00293F62" w:rsidP="005C7D38">
            <w:pPr>
              <w:jc w:val="right"/>
              <w:rPr>
                <w:sz w:val="20"/>
                <w:szCs w:val="20"/>
              </w:rPr>
            </w:pPr>
            <w:r w:rsidRPr="009548E1">
              <w:rPr>
                <w:sz w:val="20"/>
                <w:szCs w:val="20"/>
              </w:rPr>
              <w:t>222.257,12</w:t>
            </w:r>
          </w:p>
        </w:tc>
      </w:tr>
      <w:tr w:rsidR="00293F62" w:rsidRPr="009548E1" w14:paraId="1664C7C9" w14:textId="77777777" w:rsidTr="005C7D38">
        <w:trPr>
          <w:trHeight w:val="278"/>
          <w:jc w:val="center"/>
        </w:trPr>
        <w:tc>
          <w:tcPr>
            <w:tcW w:w="978" w:type="dxa"/>
            <w:shd w:val="clear" w:color="auto" w:fill="auto"/>
            <w:noWrap/>
            <w:vAlign w:val="center"/>
          </w:tcPr>
          <w:p w14:paraId="2B02C98D" w14:textId="77777777" w:rsidR="00293F62" w:rsidRPr="009548E1" w:rsidRDefault="00293F62" w:rsidP="005C7D38">
            <w:pPr>
              <w:keepNext/>
              <w:jc w:val="center"/>
              <w:rPr>
                <w:sz w:val="20"/>
                <w:szCs w:val="20"/>
              </w:rPr>
            </w:pPr>
            <w:r w:rsidRPr="009548E1">
              <w:rPr>
                <w:sz w:val="20"/>
                <w:szCs w:val="20"/>
              </w:rPr>
              <w:t>8.</w:t>
            </w:r>
          </w:p>
        </w:tc>
        <w:tc>
          <w:tcPr>
            <w:tcW w:w="4786" w:type="dxa"/>
            <w:shd w:val="clear" w:color="auto" w:fill="auto"/>
            <w:noWrap/>
            <w:vAlign w:val="center"/>
          </w:tcPr>
          <w:p w14:paraId="24FAE46A" w14:textId="77777777" w:rsidR="00293F62" w:rsidRPr="009548E1" w:rsidRDefault="00293F62" w:rsidP="005C7D38">
            <w:pPr>
              <w:keepNext/>
              <w:rPr>
                <w:sz w:val="20"/>
                <w:szCs w:val="20"/>
              </w:rPr>
            </w:pPr>
            <w:r w:rsidRPr="009548E1">
              <w:rPr>
                <w:sz w:val="20"/>
                <w:szCs w:val="20"/>
              </w:rPr>
              <w:t>HOTELI OMIŠALJ</w:t>
            </w:r>
          </w:p>
        </w:tc>
        <w:tc>
          <w:tcPr>
            <w:tcW w:w="2736" w:type="dxa"/>
            <w:shd w:val="clear" w:color="auto" w:fill="auto"/>
            <w:noWrap/>
            <w:vAlign w:val="center"/>
          </w:tcPr>
          <w:p w14:paraId="48198735" w14:textId="77777777" w:rsidR="00293F62" w:rsidRPr="009548E1" w:rsidRDefault="00293F62" w:rsidP="005C7D38">
            <w:pPr>
              <w:jc w:val="right"/>
              <w:rPr>
                <w:sz w:val="20"/>
                <w:szCs w:val="20"/>
              </w:rPr>
            </w:pPr>
            <w:r w:rsidRPr="009548E1">
              <w:rPr>
                <w:sz w:val="20"/>
                <w:szCs w:val="20"/>
              </w:rPr>
              <w:t>5.116.369,79</w:t>
            </w:r>
          </w:p>
        </w:tc>
      </w:tr>
      <w:tr w:rsidR="00293F62" w:rsidRPr="009548E1" w14:paraId="17CA10D1" w14:textId="77777777" w:rsidTr="005C7D38">
        <w:trPr>
          <w:trHeight w:val="278"/>
          <w:jc w:val="center"/>
        </w:trPr>
        <w:tc>
          <w:tcPr>
            <w:tcW w:w="978" w:type="dxa"/>
            <w:shd w:val="clear" w:color="auto" w:fill="auto"/>
            <w:noWrap/>
            <w:vAlign w:val="center"/>
          </w:tcPr>
          <w:p w14:paraId="33512118" w14:textId="77777777" w:rsidR="00293F62" w:rsidRPr="009548E1" w:rsidRDefault="00293F62" w:rsidP="005C7D38">
            <w:pPr>
              <w:keepNext/>
              <w:jc w:val="center"/>
              <w:rPr>
                <w:sz w:val="20"/>
                <w:szCs w:val="20"/>
              </w:rPr>
            </w:pPr>
            <w:r w:rsidRPr="009548E1">
              <w:rPr>
                <w:sz w:val="20"/>
                <w:szCs w:val="20"/>
              </w:rPr>
              <w:t>9.</w:t>
            </w:r>
          </w:p>
        </w:tc>
        <w:tc>
          <w:tcPr>
            <w:tcW w:w="4786" w:type="dxa"/>
            <w:shd w:val="clear" w:color="auto" w:fill="auto"/>
            <w:noWrap/>
            <w:vAlign w:val="center"/>
          </w:tcPr>
          <w:p w14:paraId="4A6F5C9A" w14:textId="77777777" w:rsidR="00293F62" w:rsidRPr="009548E1" w:rsidRDefault="00293F62" w:rsidP="005C7D38">
            <w:pPr>
              <w:keepNext/>
              <w:rPr>
                <w:sz w:val="20"/>
                <w:szCs w:val="20"/>
              </w:rPr>
            </w:pPr>
            <w:r w:rsidRPr="009548E1">
              <w:rPr>
                <w:sz w:val="20"/>
                <w:szCs w:val="20"/>
              </w:rPr>
              <w:t>HOTELI ŠOLTA</w:t>
            </w:r>
          </w:p>
        </w:tc>
        <w:tc>
          <w:tcPr>
            <w:tcW w:w="2736" w:type="dxa"/>
            <w:shd w:val="clear" w:color="auto" w:fill="auto"/>
            <w:noWrap/>
            <w:vAlign w:val="center"/>
          </w:tcPr>
          <w:p w14:paraId="2D405358" w14:textId="77777777" w:rsidR="00293F62" w:rsidRPr="009548E1" w:rsidRDefault="00293F62" w:rsidP="005C7D38">
            <w:pPr>
              <w:jc w:val="right"/>
              <w:rPr>
                <w:sz w:val="20"/>
                <w:szCs w:val="20"/>
              </w:rPr>
            </w:pPr>
            <w:r w:rsidRPr="009548E1">
              <w:rPr>
                <w:sz w:val="20"/>
                <w:szCs w:val="20"/>
              </w:rPr>
              <w:t>1.373.120,34</w:t>
            </w:r>
          </w:p>
        </w:tc>
      </w:tr>
      <w:tr w:rsidR="00293F62" w:rsidRPr="009548E1" w14:paraId="41223622" w14:textId="77777777" w:rsidTr="005C7D38">
        <w:trPr>
          <w:trHeight w:val="278"/>
          <w:jc w:val="center"/>
        </w:trPr>
        <w:tc>
          <w:tcPr>
            <w:tcW w:w="978" w:type="dxa"/>
            <w:shd w:val="clear" w:color="auto" w:fill="auto"/>
            <w:noWrap/>
            <w:vAlign w:val="center"/>
          </w:tcPr>
          <w:p w14:paraId="3DF3DE18" w14:textId="77777777" w:rsidR="00293F62" w:rsidRPr="009548E1" w:rsidRDefault="00293F62" w:rsidP="005C7D38">
            <w:pPr>
              <w:keepNext/>
              <w:jc w:val="center"/>
              <w:rPr>
                <w:sz w:val="20"/>
                <w:szCs w:val="20"/>
              </w:rPr>
            </w:pPr>
            <w:r w:rsidRPr="009548E1">
              <w:rPr>
                <w:sz w:val="20"/>
                <w:szCs w:val="20"/>
              </w:rPr>
              <w:t>10.</w:t>
            </w:r>
          </w:p>
        </w:tc>
        <w:tc>
          <w:tcPr>
            <w:tcW w:w="4786" w:type="dxa"/>
            <w:shd w:val="clear" w:color="auto" w:fill="auto"/>
            <w:noWrap/>
            <w:vAlign w:val="center"/>
          </w:tcPr>
          <w:p w14:paraId="4F9C1316" w14:textId="77777777" w:rsidR="00293F62" w:rsidRPr="009548E1" w:rsidRDefault="00293F62" w:rsidP="005C7D38">
            <w:pPr>
              <w:keepNext/>
              <w:rPr>
                <w:sz w:val="20"/>
                <w:szCs w:val="20"/>
              </w:rPr>
            </w:pPr>
            <w:r w:rsidRPr="009548E1">
              <w:rPr>
                <w:sz w:val="20"/>
                <w:szCs w:val="20"/>
              </w:rPr>
              <w:t>PRESIDENT ZADAR</w:t>
            </w:r>
          </w:p>
        </w:tc>
        <w:tc>
          <w:tcPr>
            <w:tcW w:w="2736" w:type="dxa"/>
            <w:shd w:val="clear" w:color="auto" w:fill="auto"/>
            <w:noWrap/>
            <w:vAlign w:val="center"/>
          </w:tcPr>
          <w:p w14:paraId="31952110" w14:textId="77777777" w:rsidR="00293F62" w:rsidRPr="009548E1" w:rsidRDefault="00293F62" w:rsidP="005C7D38">
            <w:pPr>
              <w:jc w:val="right"/>
              <w:rPr>
                <w:sz w:val="20"/>
                <w:szCs w:val="20"/>
              </w:rPr>
            </w:pPr>
            <w:r w:rsidRPr="009548E1">
              <w:rPr>
                <w:sz w:val="20"/>
                <w:szCs w:val="20"/>
              </w:rPr>
              <w:t>924.291,41</w:t>
            </w:r>
          </w:p>
        </w:tc>
      </w:tr>
      <w:tr w:rsidR="00293F62" w:rsidRPr="009548E1" w14:paraId="6365D2EF" w14:textId="77777777" w:rsidTr="005C7D38">
        <w:trPr>
          <w:trHeight w:val="278"/>
          <w:jc w:val="center"/>
        </w:trPr>
        <w:tc>
          <w:tcPr>
            <w:tcW w:w="978" w:type="dxa"/>
            <w:shd w:val="clear" w:color="auto" w:fill="auto"/>
            <w:noWrap/>
            <w:vAlign w:val="center"/>
          </w:tcPr>
          <w:p w14:paraId="58838F97" w14:textId="77777777" w:rsidR="00293F62" w:rsidRPr="009548E1" w:rsidRDefault="00293F62" w:rsidP="005C7D38">
            <w:pPr>
              <w:keepNext/>
              <w:jc w:val="center"/>
              <w:rPr>
                <w:sz w:val="20"/>
                <w:szCs w:val="20"/>
              </w:rPr>
            </w:pPr>
            <w:r w:rsidRPr="009548E1">
              <w:rPr>
                <w:sz w:val="20"/>
                <w:szCs w:val="20"/>
              </w:rPr>
              <w:t>11.</w:t>
            </w:r>
          </w:p>
        </w:tc>
        <w:tc>
          <w:tcPr>
            <w:tcW w:w="4786" w:type="dxa"/>
            <w:shd w:val="clear" w:color="auto" w:fill="auto"/>
            <w:noWrap/>
            <w:vAlign w:val="center"/>
          </w:tcPr>
          <w:p w14:paraId="4A287A82" w14:textId="77777777" w:rsidR="00293F62" w:rsidRPr="009548E1" w:rsidRDefault="00293F62" w:rsidP="005C7D38">
            <w:pPr>
              <w:keepNext/>
              <w:rPr>
                <w:sz w:val="20"/>
                <w:szCs w:val="20"/>
              </w:rPr>
            </w:pPr>
            <w:r w:rsidRPr="009548E1">
              <w:rPr>
                <w:sz w:val="20"/>
                <w:szCs w:val="20"/>
              </w:rPr>
              <w:t>DIOKI D.D. (CALISKAN)</w:t>
            </w:r>
          </w:p>
        </w:tc>
        <w:tc>
          <w:tcPr>
            <w:tcW w:w="2736" w:type="dxa"/>
            <w:shd w:val="clear" w:color="auto" w:fill="auto"/>
            <w:noWrap/>
            <w:vAlign w:val="center"/>
          </w:tcPr>
          <w:p w14:paraId="0DF0A139" w14:textId="77777777" w:rsidR="00293F62" w:rsidRPr="009548E1" w:rsidRDefault="00293F62" w:rsidP="005C7D38">
            <w:pPr>
              <w:jc w:val="right"/>
              <w:rPr>
                <w:sz w:val="20"/>
                <w:szCs w:val="20"/>
              </w:rPr>
            </w:pPr>
            <w:r w:rsidRPr="009548E1">
              <w:rPr>
                <w:sz w:val="20"/>
                <w:szCs w:val="20"/>
              </w:rPr>
              <w:t>5.076.647,42</w:t>
            </w:r>
          </w:p>
        </w:tc>
      </w:tr>
      <w:tr w:rsidR="00293F62" w:rsidRPr="009548E1" w14:paraId="4F3CB90A" w14:textId="77777777" w:rsidTr="005C7D38">
        <w:trPr>
          <w:trHeight w:val="278"/>
          <w:jc w:val="center"/>
        </w:trPr>
        <w:tc>
          <w:tcPr>
            <w:tcW w:w="978" w:type="dxa"/>
            <w:shd w:val="clear" w:color="auto" w:fill="auto"/>
            <w:noWrap/>
            <w:vAlign w:val="center"/>
          </w:tcPr>
          <w:p w14:paraId="545A02C0" w14:textId="77777777" w:rsidR="00293F62" w:rsidRPr="009548E1" w:rsidRDefault="00293F62" w:rsidP="005C7D38">
            <w:pPr>
              <w:keepNext/>
              <w:jc w:val="center"/>
              <w:rPr>
                <w:sz w:val="20"/>
                <w:szCs w:val="20"/>
              </w:rPr>
            </w:pPr>
            <w:r w:rsidRPr="009548E1">
              <w:rPr>
                <w:sz w:val="20"/>
                <w:szCs w:val="20"/>
              </w:rPr>
              <w:t>12.</w:t>
            </w:r>
          </w:p>
        </w:tc>
        <w:tc>
          <w:tcPr>
            <w:tcW w:w="4786" w:type="dxa"/>
            <w:shd w:val="clear" w:color="auto" w:fill="auto"/>
            <w:noWrap/>
            <w:vAlign w:val="center"/>
          </w:tcPr>
          <w:p w14:paraId="1C28571E" w14:textId="77777777" w:rsidR="00293F62" w:rsidRPr="009548E1" w:rsidRDefault="00293F62" w:rsidP="005C7D38">
            <w:pPr>
              <w:keepNext/>
              <w:rPr>
                <w:sz w:val="20"/>
                <w:szCs w:val="20"/>
              </w:rPr>
            </w:pPr>
            <w:r w:rsidRPr="009548E1">
              <w:rPr>
                <w:sz w:val="20"/>
                <w:szCs w:val="20"/>
              </w:rPr>
              <w:t>BRODOGRAĐEVNA INDUSTRIJA SPLIT</w:t>
            </w:r>
          </w:p>
        </w:tc>
        <w:tc>
          <w:tcPr>
            <w:tcW w:w="2736" w:type="dxa"/>
            <w:shd w:val="clear" w:color="auto" w:fill="auto"/>
            <w:noWrap/>
            <w:vAlign w:val="center"/>
          </w:tcPr>
          <w:p w14:paraId="52A2EBCB" w14:textId="77777777" w:rsidR="00293F62" w:rsidRPr="009548E1" w:rsidRDefault="00293F62" w:rsidP="005C7D38">
            <w:pPr>
              <w:jc w:val="right"/>
              <w:rPr>
                <w:sz w:val="20"/>
                <w:szCs w:val="20"/>
              </w:rPr>
            </w:pPr>
            <w:r w:rsidRPr="009548E1">
              <w:rPr>
                <w:sz w:val="20"/>
                <w:szCs w:val="20"/>
              </w:rPr>
              <w:t>32.251.318,26</w:t>
            </w:r>
          </w:p>
        </w:tc>
      </w:tr>
      <w:tr w:rsidR="00293F62" w:rsidRPr="009548E1" w14:paraId="3654B2E5" w14:textId="77777777" w:rsidTr="005C7D38">
        <w:trPr>
          <w:trHeight w:val="278"/>
          <w:jc w:val="center"/>
        </w:trPr>
        <w:tc>
          <w:tcPr>
            <w:tcW w:w="978" w:type="dxa"/>
            <w:shd w:val="clear" w:color="auto" w:fill="auto"/>
            <w:noWrap/>
            <w:vAlign w:val="center"/>
          </w:tcPr>
          <w:p w14:paraId="67939CDB" w14:textId="77777777" w:rsidR="00293F62" w:rsidRPr="009548E1" w:rsidRDefault="00293F62" w:rsidP="005C7D38">
            <w:pPr>
              <w:keepNext/>
              <w:jc w:val="center"/>
              <w:rPr>
                <w:sz w:val="20"/>
                <w:szCs w:val="20"/>
              </w:rPr>
            </w:pPr>
          </w:p>
        </w:tc>
        <w:tc>
          <w:tcPr>
            <w:tcW w:w="4786" w:type="dxa"/>
            <w:shd w:val="clear" w:color="auto" w:fill="auto"/>
            <w:noWrap/>
            <w:vAlign w:val="center"/>
          </w:tcPr>
          <w:p w14:paraId="24F570CD" w14:textId="77777777" w:rsidR="00293F62" w:rsidRPr="009548E1" w:rsidRDefault="00293F62" w:rsidP="005C7D38">
            <w:pPr>
              <w:keepNext/>
              <w:rPr>
                <w:color w:val="000000" w:themeColor="text1"/>
                <w:sz w:val="20"/>
                <w:szCs w:val="20"/>
              </w:rPr>
            </w:pPr>
            <w:r w:rsidRPr="009548E1">
              <w:rPr>
                <w:b/>
                <w:color w:val="000000" w:themeColor="text1"/>
                <w:sz w:val="20"/>
                <w:szCs w:val="20"/>
              </w:rPr>
              <w:t>UKUPNO</w:t>
            </w:r>
          </w:p>
        </w:tc>
        <w:tc>
          <w:tcPr>
            <w:tcW w:w="2736" w:type="dxa"/>
            <w:shd w:val="clear" w:color="auto" w:fill="auto"/>
            <w:noWrap/>
            <w:vAlign w:val="center"/>
          </w:tcPr>
          <w:p w14:paraId="76F529E2" w14:textId="77777777" w:rsidR="00293F62" w:rsidRPr="009548E1" w:rsidRDefault="00293F62" w:rsidP="005C7D38">
            <w:pPr>
              <w:jc w:val="right"/>
              <w:rPr>
                <w:b/>
                <w:bCs/>
              </w:rPr>
            </w:pPr>
            <w:r w:rsidRPr="009548E1">
              <w:rPr>
                <w:b/>
                <w:bCs/>
                <w:sz w:val="20"/>
              </w:rPr>
              <w:t>224.404.221,77</w:t>
            </w:r>
          </w:p>
        </w:tc>
      </w:tr>
    </w:tbl>
    <w:p w14:paraId="6A5FD554" w14:textId="77777777" w:rsidR="00293F62" w:rsidRPr="009548E1" w:rsidRDefault="00293F62" w:rsidP="00293F62">
      <w:pPr>
        <w:rPr>
          <w:sz w:val="20"/>
          <w:szCs w:val="20"/>
        </w:rPr>
      </w:pPr>
    </w:p>
    <w:p w14:paraId="7987E50F" w14:textId="77777777" w:rsidR="00293F62" w:rsidRPr="009548E1" w:rsidRDefault="00293F62" w:rsidP="00293F62">
      <w:pPr>
        <w:jc w:val="both"/>
        <w:rPr>
          <w:sz w:val="20"/>
          <w:szCs w:val="20"/>
        </w:rPr>
      </w:pPr>
      <w:r w:rsidRPr="009548E1">
        <w:rPr>
          <w:sz w:val="20"/>
          <w:szCs w:val="20"/>
        </w:rPr>
        <w:t xml:space="preserve">R.br. 3. - potraživanje u postupku provedbe </w:t>
      </w:r>
      <w:proofErr w:type="spellStart"/>
      <w:r w:rsidRPr="009548E1">
        <w:rPr>
          <w:sz w:val="20"/>
          <w:szCs w:val="20"/>
        </w:rPr>
        <w:t>isknjiženja</w:t>
      </w:r>
      <w:proofErr w:type="spellEnd"/>
      <w:r w:rsidRPr="009548E1">
        <w:rPr>
          <w:sz w:val="20"/>
          <w:szCs w:val="20"/>
        </w:rPr>
        <w:t xml:space="preserve"> temeljem odluke Vlade Republike Hrvatske</w:t>
      </w:r>
    </w:p>
    <w:p w14:paraId="6D6B5FB7" w14:textId="77777777" w:rsidR="00293F62" w:rsidRPr="009548E1" w:rsidRDefault="00293F62" w:rsidP="00293F62">
      <w:pPr>
        <w:jc w:val="both"/>
        <w:rPr>
          <w:sz w:val="20"/>
          <w:szCs w:val="20"/>
        </w:rPr>
      </w:pPr>
      <w:r w:rsidRPr="009548E1">
        <w:rPr>
          <w:sz w:val="20"/>
          <w:szCs w:val="20"/>
        </w:rPr>
        <w:t>R.br. 4.-5 - potraživanja koja se namiruju u ovršnom postupku</w:t>
      </w:r>
    </w:p>
    <w:p w14:paraId="4B43E5A4" w14:textId="77777777" w:rsidR="00293F62" w:rsidRPr="009548E1" w:rsidRDefault="00293F62" w:rsidP="00293F62">
      <w:pPr>
        <w:jc w:val="both"/>
        <w:rPr>
          <w:sz w:val="20"/>
          <w:szCs w:val="20"/>
        </w:rPr>
      </w:pPr>
      <w:r w:rsidRPr="009548E1">
        <w:rPr>
          <w:sz w:val="20"/>
          <w:szCs w:val="20"/>
        </w:rPr>
        <w:t>R.br. 6. – 11. - potraživanje prijavljeno u stečajni postupak</w:t>
      </w:r>
    </w:p>
    <w:p w14:paraId="0FA45BA7" w14:textId="272D7027" w:rsidR="00293F62" w:rsidRPr="009548E1" w:rsidRDefault="00293F62" w:rsidP="00293F62">
      <w:pPr>
        <w:jc w:val="both"/>
      </w:pPr>
    </w:p>
    <w:p w14:paraId="2F5CD775" w14:textId="77777777" w:rsidR="00293F62" w:rsidRPr="009548E1" w:rsidRDefault="00293F62" w:rsidP="00293F62">
      <w:pPr>
        <w:jc w:val="both"/>
      </w:pPr>
      <w:r w:rsidRPr="009548E1">
        <w:t xml:space="preserve">Smanjenje potraživanja za prihode od prodaje proizvoda i robe te pruženih usluga i za povrat po protestiranim jamstvima vezano je uz </w:t>
      </w:r>
      <w:proofErr w:type="spellStart"/>
      <w:r w:rsidRPr="009548E1">
        <w:t>isknjiženje</w:t>
      </w:r>
      <w:proofErr w:type="spellEnd"/>
      <w:r w:rsidRPr="009548E1">
        <w:t xml:space="preserve"> potraživanja prema društvu Uljanik d.d. iz poslovnih knjiga Ministarstva financija. Naime, Trgovački sud u Pazinu je dana 13. studenog 2023. godine donio Rješenje o zaključenju stečajnog postupka nad društvom Uljanik d.d. u stečaju, te je s istim datumom isknjiženo potraživanje prema navedenom društvu u ukupnom iznosu od 339.539.842,32 eura od čega se na potraživanja po protestiranim jamstvima odnosi iznos od 327.542.893,30 eura.</w:t>
      </w:r>
    </w:p>
    <w:p w14:paraId="17C2696A" w14:textId="77777777" w:rsidR="00293F62" w:rsidRPr="009548E1" w:rsidRDefault="00293F62" w:rsidP="00293F62">
      <w:pPr>
        <w:keepNext/>
        <w:jc w:val="center"/>
        <w:rPr>
          <w:sz w:val="28"/>
          <w:szCs w:val="28"/>
        </w:rPr>
      </w:pPr>
    </w:p>
    <w:p w14:paraId="1852CD0B" w14:textId="77777777" w:rsidR="00293F62" w:rsidRPr="009548E1" w:rsidRDefault="00293F62" w:rsidP="00293F62">
      <w:pPr>
        <w:jc w:val="center"/>
        <w:rPr>
          <w:sz w:val="28"/>
          <w:szCs w:val="28"/>
        </w:rPr>
      </w:pPr>
      <w:r>
        <w:rPr>
          <w:sz w:val="28"/>
          <w:szCs w:val="28"/>
        </w:rPr>
        <w:t>Bilješka 19</w:t>
      </w:r>
      <w:r w:rsidRPr="009548E1">
        <w:rPr>
          <w:sz w:val="28"/>
          <w:szCs w:val="28"/>
        </w:rPr>
        <w:t xml:space="preserve">. </w:t>
      </w:r>
    </w:p>
    <w:p w14:paraId="3B90E80D" w14:textId="77777777" w:rsidR="00293F62" w:rsidRPr="009548E1" w:rsidRDefault="00293F62" w:rsidP="00293F62">
      <w:pPr>
        <w:spacing w:after="240"/>
        <w:jc w:val="center"/>
        <w:rPr>
          <w:sz w:val="28"/>
          <w:szCs w:val="28"/>
        </w:rPr>
      </w:pPr>
      <w:r w:rsidRPr="009548E1">
        <w:rPr>
          <w:sz w:val="28"/>
          <w:szCs w:val="28"/>
        </w:rPr>
        <w:t>Šifra 23 do 239 Obveze za rashode poslovanja</w:t>
      </w:r>
    </w:p>
    <w:p w14:paraId="41231862" w14:textId="77777777" w:rsidR="00293F62" w:rsidRPr="009548E1" w:rsidRDefault="00293F62" w:rsidP="00293F62">
      <w:pPr>
        <w:jc w:val="both"/>
      </w:pPr>
      <w:r w:rsidRPr="009548E1">
        <w:t xml:space="preserve">Iznos od </w:t>
      </w:r>
      <w:r w:rsidRPr="00607F57">
        <w:t>1.133.024.755,21</w:t>
      </w:r>
      <w:r>
        <w:t xml:space="preserve"> </w:t>
      </w:r>
      <w:r w:rsidRPr="009548E1">
        <w:t xml:space="preserve">eura evidentiran na 31. prosinca 2023. godine na šifri 23 </w:t>
      </w:r>
      <w:r w:rsidRPr="009548E1">
        <w:rPr>
          <w:i/>
        </w:rPr>
        <w:t>Obveze za rashode poslovanja</w:t>
      </w:r>
      <w:r>
        <w:t xml:space="preserve"> odnosi se na:</w:t>
      </w:r>
      <w:r w:rsidRPr="009548E1">
        <w:t xml:space="preserve"> </w:t>
      </w:r>
    </w:p>
    <w:p w14:paraId="7A6B4363" w14:textId="77777777" w:rsidR="00293F62" w:rsidRPr="009548E1" w:rsidRDefault="00293F62" w:rsidP="00293F62">
      <w:pPr>
        <w:pStyle w:val="Odlomakpopisa"/>
        <w:numPr>
          <w:ilvl w:val="0"/>
          <w:numId w:val="45"/>
        </w:numPr>
        <w:jc w:val="both"/>
        <w:rPr>
          <w:sz w:val="28"/>
          <w:szCs w:val="28"/>
        </w:rPr>
      </w:pPr>
      <w:r>
        <w:t>unesene, a neplaćene zahtjeve</w:t>
      </w:r>
      <w:r w:rsidRPr="009548E1">
        <w:t xml:space="preserve"> za obveze za rashode poslovanja u 2023. godini iskazane na šiframa 232 </w:t>
      </w:r>
      <w:r w:rsidRPr="009548E1">
        <w:rPr>
          <w:i/>
        </w:rPr>
        <w:t>Obveze za materijalne rashode</w:t>
      </w:r>
      <w:r w:rsidRPr="009548E1">
        <w:t xml:space="preserve"> i šifri 234 </w:t>
      </w:r>
      <w:r w:rsidRPr="009548E1">
        <w:rPr>
          <w:i/>
        </w:rPr>
        <w:t xml:space="preserve">Obveze za financijske rashode </w:t>
      </w:r>
      <w:r w:rsidRPr="009548E1">
        <w:t>u ukupnoj vrijednosti od 5.783.822,21 eura,</w:t>
      </w:r>
    </w:p>
    <w:p w14:paraId="00051A5D" w14:textId="77777777" w:rsidR="00293F62" w:rsidRPr="009548E1" w:rsidRDefault="00293F62" w:rsidP="00293F62">
      <w:pPr>
        <w:pStyle w:val="Odlomakpopisa"/>
        <w:numPr>
          <w:ilvl w:val="0"/>
          <w:numId w:val="45"/>
        </w:numPr>
        <w:jc w:val="both"/>
        <w:rPr>
          <w:sz w:val="28"/>
          <w:szCs w:val="28"/>
        </w:rPr>
      </w:pPr>
      <w:r w:rsidRPr="009548E1">
        <w:t xml:space="preserve">obveze bivšeg Fonda za naknadu oduzete imovine u iznosu od 6.611.997,84 eura na šifri 238 </w:t>
      </w:r>
      <w:r w:rsidRPr="009548E1">
        <w:rPr>
          <w:i/>
        </w:rPr>
        <w:t xml:space="preserve">Obveze za kazne, naknade šteta i kapitalne pomoći, </w:t>
      </w:r>
      <w:r w:rsidRPr="009548E1">
        <w:t>te</w:t>
      </w:r>
    </w:p>
    <w:p w14:paraId="5ED11CC1" w14:textId="77777777" w:rsidR="00293F62" w:rsidRPr="009548E1" w:rsidRDefault="00293F62" w:rsidP="00293F62">
      <w:pPr>
        <w:pStyle w:val="Odlomakpopisa"/>
        <w:numPr>
          <w:ilvl w:val="0"/>
          <w:numId w:val="45"/>
        </w:numPr>
        <w:jc w:val="both"/>
        <w:rPr>
          <w:sz w:val="28"/>
          <w:szCs w:val="28"/>
        </w:rPr>
      </w:pPr>
      <w:r w:rsidRPr="009548E1">
        <w:t xml:space="preserve">ostale tekuće obveze u iznosu od </w:t>
      </w:r>
      <w:r w:rsidRPr="00607F57">
        <w:t>1.120.628.935,16</w:t>
      </w:r>
      <w:r>
        <w:t xml:space="preserve"> </w:t>
      </w:r>
      <w:r w:rsidRPr="009548E1">
        <w:t xml:space="preserve">eura na šifri 239 </w:t>
      </w:r>
      <w:r w:rsidRPr="009548E1">
        <w:rPr>
          <w:i/>
        </w:rPr>
        <w:t>Ostale tekuće obveze</w:t>
      </w:r>
      <w:r w:rsidRPr="009548E1">
        <w:t>.</w:t>
      </w:r>
    </w:p>
    <w:p w14:paraId="1748F015" w14:textId="77777777" w:rsidR="00293F62" w:rsidRPr="002B1238" w:rsidRDefault="00293F62" w:rsidP="00293F62">
      <w:pPr>
        <w:spacing w:before="120"/>
        <w:jc w:val="both"/>
      </w:pPr>
      <w:r w:rsidRPr="009548E1">
        <w:rPr>
          <w:bCs/>
        </w:rPr>
        <w:t xml:space="preserve">Ostale tekuće obveze iskazane na šifri 239 u iznosu od </w:t>
      </w:r>
      <w:r w:rsidRPr="00607F57">
        <w:rPr>
          <w:bCs/>
        </w:rPr>
        <w:t>1.120.628.935,16</w:t>
      </w:r>
      <w:r>
        <w:rPr>
          <w:bCs/>
        </w:rPr>
        <w:t xml:space="preserve"> </w:t>
      </w:r>
      <w:r w:rsidRPr="009548E1">
        <w:rPr>
          <w:bCs/>
        </w:rPr>
        <w:t xml:space="preserve">eura </w:t>
      </w:r>
      <w:r w:rsidRPr="009548E1">
        <w:t xml:space="preserve">između ostalog </w:t>
      </w:r>
      <w:r w:rsidRPr="002B1238">
        <w:t xml:space="preserve">uključuju: </w:t>
      </w:r>
    </w:p>
    <w:p w14:paraId="642F2068" w14:textId="77777777" w:rsidR="00293F62" w:rsidRPr="002B1238" w:rsidRDefault="00293F62" w:rsidP="00293F62">
      <w:pPr>
        <w:numPr>
          <w:ilvl w:val="0"/>
          <w:numId w:val="18"/>
        </w:numPr>
        <w:tabs>
          <w:tab w:val="decimal" w:pos="9000"/>
        </w:tabs>
      </w:pPr>
      <w:r w:rsidRPr="002B1238">
        <w:t>obveze državnog proračuna za prihode proračunskih korisnika uplaćene na račun proračuna</w:t>
      </w:r>
      <w:r w:rsidRPr="002B1238">
        <w:tab/>
        <w:t>908.452.225,76</w:t>
      </w:r>
    </w:p>
    <w:p w14:paraId="7EFB1A42" w14:textId="77777777" w:rsidR="00293F62" w:rsidRPr="002B1238" w:rsidRDefault="00293F62" w:rsidP="00293F62">
      <w:pPr>
        <w:numPr>
          <w:ilvl w:val="0"/>
          <w:numId w:val="18"/>
        </w:numPr>
        <w:tabs>
          <w:tab w:val="decimal" w:pos="9000"/>
        </w:tabs>
      </w:pPr>
      <w:r w:rsidRPr="002B1238">
        <w:t>obveze za predujmove korisnika</w:t>
      </w:r>
      <w:r w:rsidRPr="002B1238">
        <w:tab/>
        <w:t>479.065,97</w:t>
      </w:r>
    </w:p>
    <w:p w14:paraId="022B4613" w14:textId="77777777" w:rsidR="00293F62" w:rsidRPr="002B1238" w:rsidRDefault="00293F62" w:rsidP="00293F62">
      <w:pPr>
        <w:numPr>
          <w:ilvl w:val="0"/>
          <w:numId w:val="18"/>
        </w:numPr>
        <w:tabs>
          <w:tab w:val="decimal" w:pos="9000"/>
        </w:tabs>
        <w:rPr>
          <w:bCs/>
        </w:rPr>
      </w:pPr>
      <w:r w:rsidRPr="002B1238">
        <w:rPr>
          <w:bCs/>
        </w:rPr>
        <w:t>35% od prodaje stanova Ljubljanske banke</w:t>
      </w:r>
      <w:r w:rsidRPr="002B1238">
        <w:rPr>
          <w:bCs/>
        </w:rPr>
        <w:tab/>
        <w:t>60.810,14</w:t>
      </w:r>
    </w:p>
    <w:p w14:paraId="512BF030" w14:textId="77777777" w:rsidR="00293F62" w:rsidRPr="002B1238" w:rsidRDefault="00293F62" w:rsidP="00293F62">
      <w:pPr>
        <w:numPr>
          <w:ilvl w:val="0"/>
          <w:numId w:val="18"/>
        </w:numPr>
        <w:tabs>
          <w:tab w:val="decimal" w:pos="9000"/>
        </w:tabs>
        <w:rPr>
          <w:bCs/>
        </w:rPr>
      </w:pPr>
      <w:r w:rsidRPr="002B1238">
        <w:t>depozite carinarnica</w:t>
      </w:r>
      <w:r w:rsidRPr="002B1238">
        <w:rPr>
          <w:bCs/>
        </w:rPr>
        <w:tab/>
        <w:t>8.731.052,20</w:t>
      </w:r>
    </w:p>
    <w:p w14:paraId="1DAA3E81" w14:textId="77777777" w:rsidR="00293F62" w:rsidRPr="002B1238" w:rsidRDefault="00293F62" w:rsidP="00293F62">
      <w:pPr>
        <w:numPr>
          <w:ilvl w:val="0"/>
          <w:numId w:val="18"/>
        </w:numPr>
        <w:tabs>
          <w:tab w:val="decimal" w:pos="9000"/>
        </w:tabs>
        <w:ind w:right="-116"/>
        <w:rPr>
          <w:bCs/>
        </w:rPr>
      </w:pPr>
      <w:r w:rsidRPr="002B1238">
        <w:rPr>
          <w:bCs/>
        </w:rPr>
        <w:t>depozite korisnika iz ranijih godina                                                            10.645.353,20</w:t>
      </w:r>
    </w:p>
    <w:p w14:paraId="747FC436" w14:textId="77777777" w:rsidR="00293F62" w:rsidRPr="002B1238" w:rsidRDefault="00293F62" w:rsidP="00293F62">
      <w:pPr>
        <w:numPr>
          <w:ilvl w:val="0"/>
          <w:numId w:val="18"/>
        </w:numPr>
        <w:tabs>
          <w:tab w:val="decimal" w:pos="9000"/>
        </w:tabs>
        <w:rPr>
          <w:bCs/>
        </w:rPr>
      </w:pPr>
      <w:r w:rsidRPr="002B1238">
        <w:rPr>
          <w:bCs/>
        </w:rPr>
        <w:t>jamčevine korisnika</w:t>
      </w:r>
      <w:r w:rsidRPr="002B1238">
        <w:rPr>
          <w:bCs/>
        </w:rPr>
        <w:tab/>
        <w:t>26.187.054,24</w:t>
      </w:r>
    </w:p>
    <w:p w14:paraId="7B0FB8FC" w14:textId="77777777" w:rsidR="00293F62" w:rsidRPr="002B1238" w:rsidRDefault="00293F62" w:rsidP="00293F62">
      <w:pPr>
        <w:numPr>
          <w:ilvl w:val="0"/>
          <w:numId w:val="18"/>
        </w:numPr>
        <w:tabs>
          <w:tab w:val="decimal" w:pos="9000"/>
        </w:tabs>
        <w:rPr>
          <w:bCs/>
        </w:rPr>
      </w:pPr>
      <w:r w:rsidRPr="002B1238">
        <w:rPr>
          <w:bCs/>
        </w:rPr>
        <w:t>oduzeta gotovinska sredstva (od fizičkih i pravnih osoba)</w:t>
      </w:r>
      <w:r w:rsidRPr="002B1238">
        <w:rPr>
          <w:bCs/>
        </w:rPr>
        <w:tab/>
        <w:t>83.580.986,61</w:t>
      </w:r>
    </w:p>
    <w:p w14:paraId="73E06EE2" w14:textId="77777777" w:rsidR="00293F62" w:rsidRPr="009548E1" w:rsidRDefault="00293F62" w:rsidP="00293F62"/>
    <w:p w14:paraId="040AD4AF" w14:textId="77777777" w:rsidR="00293F62" w:rsidRPr="009548E1" w:rsidRDefault="00293F62" w:rsidP="00293F62">
      <w:pPr>
        <w:keepNext/>
        <w:jc w:val="center"/>
      </w:pPr>
      <w:r>
        <w:rPr>
          <w:sz w:val="28"/>
          <w:szCs w:val="28"/>
        </w:rPr>
        <w:t>Bilješka 20</w:t>
      </w:r>
      <w:r w:rsidRPr="009548E1">
        <w:rPr>
          <w:sz w:val="28"/>
          <w:szCs w:val="28"/>
        </w:rPr>
        <w:t>.</w:t>
      </w:r>
    </w:p>
    <w:p w14:paraId="2E8DE55D" w14:textId="77777777" w:rsidR="00293F62" w:rsidRPr="009548E1" w:rsidRDefault="00293F62" w:rsidP="00293F62">
      <w:pPr>
        <w:spacing w:after="240"/>
        <w:jc w:val="center"/>
        <w:rPr>
          <w:sz w:val="28"/>
        </w:rPr>
      </w:pPr>
      <w:r w:rsidRPr="009548E1">
        <w:rPr>
          <w:sz w:val="28"/>
        </w:rPr>
        <w:t>Šifra 2521 Obveze za trezorske zapise</w:t>
      </w:r>
    </w:p>
    <w:p w14:paraId="14A4E593" w14:textId="77777777" w:rsidR="00293F62" w:rsidRPr="009548E1" w:rsidRDefault="00293F62" w:rsidP="00293F62">
      <w:pPr>
        <w:jc w:val="both"/>
      </w:pPr>
      <w:r w:rsidRPr="009548E1">
        <w:t xml:space="preserve">Na dan 31. prosinca 2023. godine obveze za trezorske zapise iznose 2.588.499.881,55 eura, dok su na dan 1. siječnja 2023. iznosile 2.697.033.593,07 eura što predstavlja smanjenje od 4% u promatranom razdoblju. </w:t>
      </w:r>
    </w:p>
    <w:p w14:paraId="1507E224" w14:textId="77777777" w:rsidR="00293F62" w:rsidRPr="009548E1" w:rsidRDefault="00293F62" w:rsidP="00293F62">
      <w:pPr>
        <w:jc w:val="both"/>
      </w:pPr>
    </w:p>
    <w:p w14:paraId="6A7B3938" w14:textId="77777777" w:rsidR="00293F62" w:rsidRPr="009548E1" w:rsidRDefault="00293F62" w:rsidP="00293F62">
      <w:pPr>
        <w:jc w:val="both"/>
      </w:pPr>
      <w:r w:rsidRPr="009548E1">
        <w:t xml:space="preserve">Ministarstvo financija provodi aukcije trezorskih zapisa u skladu s Pravilima i uvjetima aukcija trezorskih zapisa, koristeći se elektroničkim aukcijskim sustavom </w:t>
      </w:r>
      <w:proofErr w:type="spellStart"/>
      <w:r w:rsidRPr="009548E1">
        <w:t>Bloomberg</w:t>
      </w:r>
      <w:proofErr w:type="spellEnd"/>
      <w:r w:rsidRPr="009548E1">
        <w:t xml:space="preserve"> (BAS).</w:t>
      </w:r>
    </w:p>
    <w:p w14:paraId="144F17C0" w14:textId="77777777" w:rsidR="00293F62" w:rsidRPr="009548E1" w:rsidRDefault="00293F62" w:rsidP="00293F62">
      <w:pPr>
        <w:jc w:val="both"/>
      </w:pPr>
    </w:p>
    <w:p w14:paraId="394EE4A3" w14:textId="77777777" w:rsidR="00293F62" w:rsidRPr="009548E1" w:rsidRDefault="00293F62" w:rsidP="00293F62">
      <w:pPr>
        <w:jc w:val="both"/>
      </w:pPr>
      <w:r w:rsidRPr="009548E1">
        <w:t>Do kraja prosinca 2023. godine održano je 8 aukcija trezorskih zapisa na kojima je bilo ukupno 16 izdanja, od čega 7 izdanja s rokom dospijeća od 364 dana, 6 izdanja s rokom dospijeća od 182 dana  i 3 izdanja s rokom dospijeća od 91 dan.</w:t>
      </w:r>
    </w:p>
    <w:p w14:paraId="22A60A6C" w14:textId="77777777" w:rsidR="00293F62" w:rsidRPr="009548E1" w:rsidRDefault="00293F62" w:rsidP="00293F62">
      <w:pPr>
        <w:jc w:val="both"/>
      </w:pPr>
    </w:p>
    <w:p w14:paraId="56EA9678" w14:textId="77777777" w:rsidR="00293F62" w:rsidRDefault="00293F62" w:rsidP="00293F62">
      <w:pPr>
        <w:jc w:val="both"/>
      </w:pPr>
      <w:r w:rsidRPr="009548E1">
        <w:t xml:space="preserve">Na aukcijama trezorskih zapisa do kraja prosinca 2023. godine izdano je ukupno 2,890 milijardi eura trezorskih zapisa, a istodobno je iskupljeno 2,914 milijardi eura. </w:t>
      </w:r>
    </w:p>
    <w:p w14:paraId="009B4D25" w14:textId="77777777" w:rsidR="00293F62" w:rsidRPr="009548E1" w:rsidRDefault="00293F62" w:rsidP="00293F62">
      <w:pPr>
        <w:jc w:val="both"/>
      </w:pPr>
    </w:p>
    <w:p w14:paraId="60EB25DC" w14:textId="77777777" w:rsidR="00293F62" w:rsidRPr="009548E1" w:rsidRDefault="00293F62" w:rsidP="00293F62">
      <w:pPr>
        <w:jc w:val="both"/>
      </w:pPr>
      <w:r w:rsidRPr="009548E1">
        <w:t xml:space="preserve">Trezorski zapisi su uvršteni u usluge </w:t>
      </w:r>
      <w:proofErr w:type="spellStart"/>
      <w:r w:rsidRPr="009548E1">
        <w:t>depozitorija</w:t>
      </w:r>
      <w:proofErr w:type="spellEnd"/>
      <w:r w:rsidRPr="009548E1">
        <w:t>, poravnanja i namire Središnjeg klirinškog depozitarnog društva d.d. te na Redovito tržište Zagrebačke burze.</w:t>
      </w:r>
    </w:p>
    <w:p w14:paraId="38184336" w14:textId="77777777" w:rsidR="00293F62" w:rsidRPr="009548E1" w:rsidRDefault="00293F62" w:rsidP="00293F62">
      <w:pPr>
        <w:jc w:val="both"/>
      </w:pPr>
    </w:p>
    <w:p w14:paraId="15D74F34" w14:textId="77777777" w:rsidR="00293F62" w:rsidRPr="009548E1" w:rsidRDefault="00293F62" w:rsidP="00293F62">
      <w:pPr>
        <w:jc w:val="center"/>
        <w:rPr>
          <w:sz w:val="28"/>
        </w:rPr>
      </w:pPr>
      <w:r>
        <w:rPr>
          <w:sz w:val="28"/>
        </w:rPr>
        <w:t>Bilješka 21</w:t>
      </w:r>
      <w:r w:rsidRPr="009548E1">
        <w:rPr>
          <w:sz w:val="28"/>
        </w:rPr>
        <w:t>.</w:t>
      </w:r>
    </w:p>
    <w:p w14:paraId="0006368A" w14:textId="77777777" w:rsidR="00293F62" w:rsidRPr="009548E1" w:rsidRDefault="00293F62" w:rsidP="00293F62">
      <w:pPr>
        <w:spacing w:after="240"/>
        <w:jc w:val="center"/>
        <w:rPr>
          <w:sz w:val="28"/>
        </w:rPr>
      </w:pPr>
      <w:r w:rsidRPr="009548E1">
        <w:rPr>
          <w:bCs/>
          <w:sz w:val="28"/>
        </w:rPr>
        <w:t>Šifra 2541 Obveza za obveznice - tuzemne</w:t>
      </w:r>
    </w:p>
    <w:p w14:paraId="09670BE7" w14:textId="77777777" w:rsidR="00293F62" w:rsidRPr="009548E1" w:rsidRDefault="00293F62" w:rsidP="00293F62">
      <w:pPr>
        <w:jc w:val="both"/>
      </w:pPr>
      <w:r w:rsidRPr="009548E1">
        <w:t>Stanje obveza za tuzemne obveznice na dan 31. prosinca 2023. godine iznosi 18.071.038.402,87 eura</w:t>
      </w:r>
      <w:r w:rsidRPr="009548E1">
        <w:rPr>
          <w:bCs/>
        </w:rPr>
        <w:t xml:space="preserve"> </w:t>
      </w:r>
      <w:r w:rsidRPr="009548E1">
        <w:t xml:space="preserve">dok su na dan 1. siječnja 2023. iznosile 16.442.916.251,91 eura što predstavlja povećanje od 9,9% u promatranom razdoblju. </w:t>
      </w:r>
    </w:p>
    <w:p w14:paraId="51404023" w14:textId="77777777" w:rsidR="00293F62" w:rsidRPr="009548E1" w:rsidRDefault="00293F62" w:rsidP="00293F62">
      <w:pPr>
        <w:jc w:val="both"/>
      </w:pPr>
    </w:p>
    <w:p w14:paraId="28E94E16" w14:textId="77777777" w:rsidR="00293F62" w:rsidRPr="009548E1" w:rsidRDefault="00293F62" w:rsidP="00293F62">
      <w:pPr>
        <w:jc w:val="both"/>
      </w:pPr>
      <w:r w:rsidRPr="009548E1">
        <w:t xml:space="preserve">U Tablici </w:t>
      </w:r>
      <w:r>
        <w:t>7</w:t>
      </w:r>
      <w:r w:rsidRPr="009548E1">
        <w:t>. dan je prikaz obveza po aktivnim obveznicama izdanima na domaćem tržištu kapitala na dan 31. prosinca 2023. godine.</w:t>
      </w:r>
    </w:p>
    <w:p w14:paraId="606CE42D" w14:textId="77777777" w:rsidR="00293F62" w:rsidRPr="009548E1" w:rsidRDefault="00293F62" w:rsidP="00293F62">
      <w:pPr>
        <w:keepNext/>
        <w:jc w:val="both"/>
        <w:rPr>
          <w:b/>
          <w:sz w:val="18"/>
          <w:szCs w:val="18"/>
        </w:rPr>
      </w:pPr>
      <w:r>
        <w:rPr>
          <w:b/>
          <w:sz w:val="18"/>
          <w:szCs w:val="18"/>
        </w:rPr>
        <w:t>Tablica 7</w:t>
      </w:r>
      <w:r w:rsidRPr="009548E1">
        <w:rPr>
          <w:b/>
          <w:sz w:val="18"/>
          <w:szCs w:val="18"/>
        </w:rPr>
        <w:t>.</w:t>
      </w:r>
      <w:r>
        <w:rPr>
          <w:b/>
          <w:sz w:val="18"/>
          <w:szCs w:val="18"/>
        </w:rPr>
        <w:t xml:space="preserve"> Obveze po aktivnim obveznicama izdanima na domaćem tržištu kapitala</w:t>
      </w:r>
    </w:p>
    <w:tbl>
      <w:tblPr>
        <w:tblW w:w="7792" w:type="dxa"/>
        <w:jc w:val="center"/>
        <w:tblLook w:val="04A0" w:firstRow="1" w:lastRow="0" w:firstColumn="1" w:lastColumn="0" w:noHBand="0" w:noVBand="1"/>
      </w:tblPr>
      <w:tblGrid>
        <w:gridCol w:w="960"/>
        <w:gridCol w:w="3430"/>
        <w:gridCol w:w="1275"/>
        <w:gridCol w:w="2127"/>
      </w:tblGrid>
      <w:tr w:rsidR="00293F62" w:rsidRPr="009548E1" w14:paraId="03D46D04" w14:textId="77777777" w:rsidTr="005C7D38">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A8390" w14:textId="77777777" w:rsidR="00293F62" w:rsidRPr="009548E1" w:rsidRDefault="00293F62" w:rsidP="005C7D38">
            <w:pPr>
              <w:jc w:val="center"/>
              <w:rPr>
                <w:b/>
                <w:bCs/>
                <w:sz w:val="20"/>
                <w:szCs w:val="20"/>
              </w:rPr>
            </w:pPr>
            <w:r w:rsidRPr="009548E1">
              <w:rPr>
                <w:b/>
                <w:bCs/>
                <w:sz w:val="20"/>
                <w:szCs w:val="20"/>
              </w:rPr>
              <w:t>Red. broj</w:t>
            </w:r>
          </w:p>
        </w:tc>
        <w:tc>
          <w:tcPr>
            <w:tcW w:w="3430" w:type="dxa"/>
            <w:tcBorders>
              <w:top w:val="single" w:sz="4" w:space="0" w:color="auto"/>
              <w:left w:val="nil"/>
              <w:bottom w:val="single" w:sz="4" w:space="0" w:color="auto"/>
              <w:right w:val="single" w:sz="4" w:space="0" w:color="auto"/>
            </w:tcBorders>
            <w:shd w:val="clear" w:color="auto" w:fill="auto"/>
            <w:noWrap/>
            <w:vAlign w:val="center"/>
            <w:hideMark/>
          </w:tcPr>
          <w:p w14:paraId="131616C3" w14:textId="77777777" w:rsidR="00293F62" w:rsidRPr="009548E1" w:rsidRDefault="00293F62" w:rsidP="005C7D38">
            <w:pPr>
              <w:jc w:val="center"/>
              <w:rPr>
                <w:b/>
                <w:bCs/>
                <w:sz w:val="20"/>
                <w:szCs w:val="20"/>
              </w:rPr>
            </w:pPr>
            <w:r w:rsidRPr="009548E1">
              <w:rPr>
                <w:b/>
                <w:bCs/>
                <w:sz w:val="20"/>
                <w:szCs w:val="20"/>
              </w:rPr>
              <w:t>Naziv</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173FC73" w14:textId="77777777" w:rsidR="00293F62" w:rsidRPr="009548E1" w:rsidRDefault="00293F62" w:rsidP="005C7D38">
            <w:pPr>
              <w:jc w:val="center"/>
              <w:rPr>
                <w:b/>
                <w:bCs/>
                <w:sz w:val="20"/>
                <w:szCs w:val="20"/>
              </w:rPr>
            </w:pPr>
            <w:r w:rsidRPr="009548E1">
              <w:rPr>
                <w:b/>
                <w:bCs/>
                <w:sz w:val="20"/>
                <w:szCs w:val="20"/>
              </w:rPr>
              <w:t>Valuta</w:t>
            </w:r>
          </w:p>
        </w:tc>
        <w:tc>
          <w:tcPr>
            <w:tcW w:w="2127" w:type="dxa"/>
            <w:tcBorders>
              <w:top w:val="single" w:sz="4" w:space="0" w:color="auto"/>
              <w:left w:val="nil"/>
              <w:bottom w:val="nil"/>
              <w:right w:val="single" w:sz="4" w:space="0" w:color="auto"/>
            </w:tcBorders>
            <w:shd w:val="clear" w:color="auto" w:fill="auto"/>
            <w:vAlign w:val="center"/>
            <w:hideMark/>
          </w:tcPr>
          <w:p w14:paraId="69A897CC" w14:textId="77777777" w:rsidR="00293F62" w:rsidRPr="009548E1" w:rsidRDefault="00293F62" w:rsidP="005C7D38">
            <w:pPr>
              <w:jc w:val="center"/>
              <w:rPr>
                <w:b/>
                <w:bCs/>
                <w:sz w:val="20"/>
                <w:szCs w:val="20"/>
              </w:rPr>
            </w:pPr>
            <w:r w:rsidRPr="009548E1">
              <w:rPr>
                <w:b/>
                <w:bCs/>
                <w:sz w:val="20"/>
                <w:szCs w:val="20"/>
              </w:rPr>
              <w:t>Stanje obveza na 31.12.2023.</w:t>
            </w:r>
          </w:p>
        </w:tc>
      </w:tr>
      <w:tr w:rsidR="00293F62" w:rsidRPr="009548E1" w14:paraId="6412DC71"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66E841" w14:textId="77777777" w:rsidR="00293F62" w:rsidRPr="009548E1" w:rsidRDefault="00293F62" w:rsidP="005C7D38">
            <w:pPr>
              <w:jc w:val="center"/>
              <w:rPr>
                <w:sz w:val="16"/>
                <w:szCs w:val="16"/>
              </w:rPr>
            </w:pPr>
            <w:r w:rsidRPr="009548E1">
              <w:rPr>
                <w:sz w:val="16"/>
                <w:szCs w:val="16"/>
              </w:rPr>
              <w:t>1.</w:t>
            </w:r>
          </w:p>
        </w:tc>
        <w:tc>
          <w:tcPr>
            <w:tcW w:w="3430" w:type="dxa"/>
            <w:tcBorders>
              <w:top w:val="nil"/>
              <w:left w:val="nil"/>
              <w:bottom w:val="nil"/>
              <w:right w:val="single" w:sz="4" w:space="0" w:color="auto"/>
            </w:tcBorders>
            <w:shd w:val="clear" w:color="auto" w:fill="auto"/>
            <w:noWrap/>
            <w:vAlign w:val="center"/>
            <w:hideMark/>
          </w:tcPr>
          <w:p w14:paraId="11E8C920" w14:textId="77777777" w:rsidR="00293F62" w:rsidRPr="009548E1" w:rsidRDefault="00293F62" w:rsidP="005C7D38">
            <w:pPr>
              <w:rPr>
                <w:sz w:val="16"/>
                <w:szCs w:val="16"/>
              </w:rPr>
            </w:pPr>
            <w:r w:rsidRPr="009548E1">
              <w:rPr>
                <w:sz w:val="16"/>
                <w:szCs w:val="16"/>
              </w:rPr>
              <w:t>Obveznice - Serija 19 D-24, 247E</w:t>
            </w:r>
          </w:p>
        </w:tc>
        <w:tc>
          <w:tcPr>
            <w:tcW w:w="1275" w:type="dxa"/>
            <w:tcBorders>
              <w:top w:val="nil"/>
              <w:left w:val="nil"/>
              <w:bottom w:val="nil"/>
              <w:right w:val="single" w:sz="4" w:space="0" w:color="auto"/>
            </w:tcBorders>
            <w:shd w:val="clear" w:color="auto" w:fill="auto"/>
            <w:noWrap/>
            <w:vAlign w:val="center"/>
            <w:hideMark/>
          </w:tcPr>
          <w:p w14:paraId="2A789D5A" w14:textId="77777777" w:rsidR="00293F62" w:rsidRPr="009548E1" w:rsidRDefault="00293F62" w:rsidP="005C7D38">
            <w:pPr>
              <w:jc w:val="center"/>
              <w:rPr>
                <w:sz w:val="16"/>
                <w:szCs w:val="16"/>
              </w:rPr>
            </w:pPr>
            <w:r w:rsidRPr="009548E1">
              <w:rPr>
                <w:sz w:val="16"/>
                <w:szCs w:val="16"/>
              </w:rPr>
              <w:t>EUR</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0395F88" w14:textId="77777777" w:rsidR="00293F62" w:rsidRPr="009548E1" w:rsidRDefault="00293F62" w:rsidP="005C7D38">
            <w:pPr>
              <w:jc w:val="right"/>
              <w:rPr>
                <w:sz w:val="16"/>
                <w:szCs w:val="16"/>
              </w:rPr>
            </w:pPr>
            <w:r w:rsidRPr="009548E1">
              <w:rPr>
                <w:sz w:val="16"/>
                <w:szCs w:val="16"/>
              </w:rPr>
              <w:t>1.400.000.000,00</w:t>
            </w:r>
          </w:p>
        </w:tc>
      </w:tr>
      <w:tr w:rsidR="00293F62" w:rsidRPr="009548E1" w14:paraId="1A7B5B5D"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9FB497" w14:textId="77777777" w:rsidR="00293F62" w:rsidRPr="009548E1" w:rsidRDefault="00293F62" w:rsidP="005C7D38">
            <w:pPr>
              <w:jc w:val="center"/>
              <w:rPr>
                <w:sz w:val="16"/>
                <w:szCs w:val="16"/>
              </w:rPr>
            </w:pPr>
            <w:r w:rsidRPr="009548E1">
              <w:rPr>
                <w:sz w:val="16"/>
                <w:szCs w:val="16"/>
              </w:rPr>
              <w:t>2.</w:t>
            </w:r>
          </w:p>
        </w:tc>
        <w:tc>
          <w:tcPr>
            <w:tcW w:w="3430" w:type="dxa"/>
            <w:tcBorders>
              <w:top w:val="single" w:sz="4" w:space="0" w:color="auto"/>
              <w:left w:val="nil"/>
              <w:bottom w:val="nil"/>
              <w:right w:val="single" w:sz="4" w:space="0" w:color="auto"/>
            </w:tcBorders>
            <w:shd w:val="clear" w:color="auto" w:fill="auto"/>
            <w:noWrap/>
            <w:vAlign w:val="center"/>
            <w:hideMark/>
          </w:tcPr>
          <w:p w14:paraId="03DFE105" w14:textId="77777777" w:rsidR="00293F62" w:rsidRPr="009548E1" w:rsidRDefault="00293F62" w:rsidP="005C7D38">
            <w:pPr>
              <w:rPr>
                <w:sz w:val="16"/>
                <w:szCs w:val="16"/>
              </w:rPr>
            </w:pPr>
            <w:r w:rsidRPr="009548E1">
              <w:rPr>
                <w:sz w:val="16"/>
                <w:szCs w:val="16"/>
              </w:rPr>
              <w:t>Obveznice - Serija 20 D-25, 257A</w:t>
            </w:r>
          </w:p>
        </w:tc>
        <w:tc>
          <w:tcPr>
            <w:tcW w:w="1275" w:type="dxa"/>
            <w:tcBorders>
              <w:top w:val="single" w:sz="4" w:space="0" w:color="auto"/>
              <w:left w:val="nil"/>
              <w:bottom w:val="nil"/>
              <w:right w:val="single" w:sz="4" w:space="0" w:color="auto"/>
            </w:tcBorders>
            <w:shd w:val="clear" w:color="auto" w:fill="auto"/>
            <w:noWrap/>
            <w:vAlign w:val="center"/>
            <w:hideMark/>
          </w:tcPr>
          <w:p w14:paraId="3EC84054" w14:textId="77777777" w:rsidR="00293F62" w:rsidRPr="009548E1" w:rsidRDefault="00293F62" w:rsidP="005C7D38">
            <w:pPr>
              <w:jc w:val="center"/>
              <w:rPr>
                <w:sz w:val="16"/>
                <w:szCs w:val="16"/>
              </w:rPr>
            </w:pPr>
            <w:r w:rsidRPr="009548E1">
              <w:rPr>
                <w:sz w:val="16"/>
                <w:szCs w:val="16"/>
              </w:rPr>
              <w:t>EUR</w:t>
            </w:r>
          </w:p>
        </w:tc>
        <w:tc>
          <w:tcPr>
            <w:tcW w:w="2127" w:type="dxa"/>
            <w:tcBorders>
              <w:top w:val="nil"/>
              <w:left w:val="nil"/>
              <w:bottom w:val="single" w:sz="4" w:space="0" w:color="auto"/>
              <w:right w:val="single" w:sz="4" w:space="0" w:color="auto"/>
            </w:tcBorders>
            <w:shd w:val="clear" w:color="auto" w:fill="auto"/>
            <w:noWrap/>
            <w:vAlign w:val="center"/>
            <w:hideMark/>
          </w:tcPr>
          <w:p w14:paraId="2358A33F" w14:textId="77777777" w:rsidR="00293F62" w:rsidRPr="009548E1" w:rsidRDefault="00293F62" w:rsidP="005C7D38">
            <w:pPr>
              <w:jc w:val="right"/>
              <w:rPr>
                <w:sz w:val="16"/>
                <w:szCs w:val="16"/>
              </w:rPr>
            </w:pPr>
            <w:r w:rsidRPr="009548E1">
              <w:rPr>
                <w:sz w:val="16"/>
                <w:szCs w:val="16"/>
              </w:rPr>
              <w:t>796.336.850,14</w:t>
            </w:r>
          </w:p>
        </w:tc>
      </w:tr>
      <w:tr w:rsidR="00293F62" w:rsidRPr="009548E1" w14:paraId="2EDDD61B"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6CD076" w14:textId="77777777" w:rsidR="00293F62" w:rsidRPr="009548E1" w:rsidRDefault="00293F62" w:rsidP="005C7D38">
            <w:pPr>
              <w:jc w:val="center"/>
              <w:rPr>
                <w:sz w:val="16"/>
                <w:szCs w:val="16"/>
              </w:rPr>
            </w:pPr>
            <w:r w:rsidRPr="009548E1">
              <w:rPr>
                <w:sz w:val="16"/>
                <w:szCs w:val="16"/>
              </w:rPr>
              <w:t>3.</w:t>
            </w:r>
          </w:p>
        </w:tc>
        <w:tc>
          <w:tcPr>
            <w:tcW w:w="3430" w:type="dxa"/>
            <w:tcBorders>
              <w:top w:val="single" w:sz="4" w:space="0" w:color="auto"/>
              <w:left w:val="nil"/>
              <w:bottom w:val="single" w:sz="4" w:space="0" w:color="auto"/>
              <w:right w:val="single" w:sz="4" w:space="0" w:color="auto"/>
            </w:tcBorders>
            <w:shd w:val="clear" w:color="auto" w:fill="auto"/>
            <w:noWrap/>
            <w:vAlign w:val="center"/>
            <w:hideMark/>
          </w:tcPr>
          <w:p w14:paraId="2E85F1E5" w14:textId="77777777" w:rsidR="00293F62" w:rsidRPr="009548E1" w:rsidRDefault="00293F62" w:rsidP="005C7D38">
            <w:pPr>
              <w:rPr>
                <w:sz w:val="16"/>
                <w:szCs w:val="16"/>
              </w:rPr>
            </w:pPr>
            <w:r w:rsidRPr="009548E1">
              <w:rPr>
                <w:sz w:val="16"/>
                <w:szCs w:val="16"/>
              </w:rPr>
              <w:t>Obveznice - Serija 21 D-26, 26CA</w:t>
            </w:r>
          </w:p>
        </w:tc>
        <w:tc>
          <w:tcPr>
            <w:tcW w:w="1275" w:type="dxa"/>
            <w:tcBorders>
              <w:top w:val="single" w:sz="4" w:space="0" w:color="auto"/>
              <w:left w:val="nil"/>
              <w:bottom w:val="nil"/>
              <w:right w:val="single" w:sz="4" w:space="0" w:color="auto"/>
            </w:tcBorders>
            <w:shd w:val="clear" w:color="auto" w:fill="auto"/>
            <w:noWrap/>
            <w:vAlign w:val="center"/>
            <w:hideMark/>
          </w:tcPr>
          <w:p w14:paraId="639DAC6A" w14:textId="77777777" w:rsidR="00293F62" w:rsidRPr="009548E1" w:rsidRDefault="00293F62" w:rsidP="005C7D38">
            <w:pPr>
              <w:jc w:val="center"/>
              <w:rPr>
                <w:sz w:val="16"/>
                <w:szCs w:val="16"/>
              </w:rPr>
            </w:pPr>
            <w:r w:rsidRPr="009548E1">
              <w:rPr>
                <w:sz w:val="16"/>
                <w:szCs w:val="16"/>
              </w:rPr>
              <w:t>EUR</w:t>
            </w:r>
          </w:p>
        </w:tc>
        <w:tc>
          <w:tcPr>
            <w:tcW w:w="2127" w:type="dxa"/>
            <w:tcBorders>
              <w:top w:val="nil"/>
              <w:left w:val="nil"/>
              <w:bottom w:val="single" w:sz="4" w:space="0" w:color="auto"/>
              <w:right w:val="single" w:sz="4" w:space="0" w:color="auto"/>
            </w:tcBorders>
            <w:shd w:val="clear" w:color="auto" w:fill="auto"/>
            <w:noWrap/>
            <w:vAlign w:val="center"/>
            <w:hideMark/>
          </w:tcPr>
          <w:p w14:paraId="32EC50A0" w14:textId="77777777" w:rsidR="00293F62" w:rsidRPr="009548E1" w:rsidRDefault="00293F62" w:rsidP="005C7D38">
            <w:pPr>
              <w:jc w:val="right"/>
              <w:rPr>
                <w:sz w:val="16"/>
                <w:szCs w:val="16"/>
              </w:rPr>
            </w:pPr>
            <w:r w:rsidRPr="009548E1">
              <w:rPr>
                <w:sz w:val="16"/>
                <w:szCs w:val="16"/>
              </w:rPr>
              <w:t>1.653.726.192,40</w:t>
            </w:r>
          </w:p>
        </w:tc>
      </w:tr>
      <w:tr w:rsidR="00293F62" w:rsidRPr="009548E1" w14:paraId="0B2D0AFC"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6B8455" w14:textId="77777777" w:rsidR="00293F62" w:rsidRPr="009548E1" w:rsidRDefault="00293F62" w:rsidP="005C7D38">
            <w:pPr>
              <w:jc w:val="center"/>
              <w:rPr>
                <w:sz w:val="16"/>
                <w:szCs w:val="16"/>
              </w:rPr>
            </w:pPr>
            <w:r w:rsidRPr="009548E1">
              <w:rPr>
                <w:sz w:val="16"/>
                <w:szCs w:val="16"/>
              </w:rPr>
              <w:t>4.</w:t>
            </w:r>
          </w:p>
        </w:tc>
        <w:tc>
          <w:tcPr>
            <w:tcW w:w="3430" w:type="dxa"/>
            <w:tcBorders>
              <w:top w:val="nil"/>
              <w:left w:val="nil"/>
              <w:bottom w:val="single" w:sz="4" w:space="0" w:color="auto"/>
              <w:right w:val="single" w:sz="4" w:space="0" w:color="auto"/>
            </w:tcBorders>
            <w:shd w:val="clear" w:color="auto" w:fill="auto"/>
            <w:noWrap/>
            <w:vAlign w:val="center"/>
            <w:hideMark/>
          </w:tcPr>
          <w:p w14:paraId="2AC05F09" w14:textId="77777777" w:rsidR="00293F62" w:rsidRPr="009548E1" w:rsidRDefault="00293F62" w:rsidP="005C7D38">
            <w:pPr>
              <w:rPr>
                <w:sz w:val="16"/>
                <w:szCs w:val="16"/>
              </w:rPr>
            </w:pPr>
            <w:r w:rsidRPr="009548E1">
              <w:rPr>
                <w:sz w:val="16"/>
                <w:szCs w:val="16"/>
              </w:rPr>
              <w:t>Obveznice - Serija 24 D-28, 282A</w:t>
            </w:r>
          </w:p>
        </w:tc>
        <w:tc>
          <w:tcPr>
            <w:tcW w:w="1275" w:type="dxa"/>
            <w:tcBorders>
              <w:top w:val="single" w:sz="4" w:space="0" w:color="auto"/>
              <w:left w:val="nil"/>
              <w:bottom w:val="nil"/>
              <w:right w:val="single" w:sz="4" w:space="0" w:color="auto"/>
            </w:tcBorders>
            <w:shd w:val="clear" w:color="auto" w:fill="auto"/>
            <w:noWrap/>
            <w:vAlign w:val="center"/>
            <w:hideMark/>
          </w:tcPr>
          <w:p w14:paraId="310AB1EA" w14:textId="77777777" w:rsidR="00293F62" w:rsidRPr="009548E1" w:rsidRDefault="00293F62" w:rsidP="005C7D38">
            <w:pPr>
              <w:jc w:val="center"/>
              <w:rPr>
                <w:sz w:val="16"/>
                <w:szCs w:val="16"/>
              </w:rPr>
            </w:pPr>
            <w:r w:rsidRPr="009548E1">
              <w:rPr>
                <w:sz w:val="16"/>
                <w:szCs w:val="16"/>
              </w:rPr>
              <w:t>EUR</w:t>
            </w:r>
          </w:p>
        </w:tc>
        <w:tc>
          <w:tcPr>
            <w:tcW w:w="2127" w:type="dxa"/>
            <w:tcBorders>
              <w:top w:val="nil"/>
              <w:left w:val="nil"/>
              <w:bottom w:val="single" w:sz="4" w:space="0" w:color="auto"/>
              <w:right w:val="single" w:sz="4" w:space="0" w:color="auto"/>
            </w:tcBorders>
            <w:shd w:val="clear" w:color="auto" w:fill="auto"/>
            <w:noWrap/>
            <w:vAlign w:val="center"/>
            <w:hideMark/>
          </w:tcPr>
          <w:p w14:paraId="02582917" w14:textId="77777777" w:rsidR="00293F62" w:rsidRPr="009548E1" w:rsidRDefault="00293F62" w:rsidP="005C7D38">
            <w:pPr>
              <w:jc w:val="right"/>
              <w:rPr>
                <w:sz w:val="16"/>
                <w:szCs w:val="16"/>
              </w:rPr>
            </w:pPr>
            <w:r w:rsidRPr="009548E1">
              <w:rPr>
                <w:sz w:val="16"/>
                <w:szCs w:val="16"/>
              </w:rPr>
              <w:t>1.073.727.519,76</w:t>
            </w:r>
          </w:p>
        </w:tc>
      </w:tr>
      <w:tr w:rsidR="00293F62" w:rsidRPr="009548E1" w14:paraId="47590A65"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0B1ECB" w14:textId="77777777" w:rsidR="00293F62" w:rsidRPr="009548E1" w:rsidRDefault="00293F62" w:rsidP="005C7D38">
            <w:pPr>
              <w:jc w:val="center"/>
              <w:rPr>
                <w:sz w:val="16"/>
                <w:szCs w:val="16"/>
              </w:rPr>
            </w:pPr>
            <w:r w:rsidRPr="009548E1">
              <w:rPr>
                <w:sz w:val="16"/>
                <w:szCs w:val="16"/>
              </w:rPr>
              <w:t>5.</w:t>
            </w:r>
          </w:p>
        </w:tc>
        <w:tc>
          <w:tcPr>
            <w:tcW w:w="3430" w:type="dxa"/>
            <w:tcBorders>
              <w:top w:val="nil"/>
              <w:left w:val="nil"/>
              <w:bottom w:val="single" w:sz="4" w:space="0" w:color="auto"/>
              <w:right w:val="single" w:sz="4" w:space="0" w:color="auto"/>
            </w:tcBorders>
            <w:shd w:val="clear" w:color="auto" w:fill="auto"/>
            <w:noWrap/>
            <w:vAlign w:val="center"/>
            <w:hideMark/>
          </w:tcPr>
          <w:p w14:paraId="77A939E2" w14:textId="77777777" w:rsidR="00293F62" w:rsidRPr="009548E1" w:rsidRDefault="00293F62" w:rsidP="005C7D38">
            <w:pPr>
              <w:rPr>
                <w:sz w:val="16"/>
                <w:szCs w:val="16"/>
              </w:rPr>
            </w:pPr>
            <w:r w:rsidRPr="009548E1">
              <w:rPr>
                <w:sz w:val="16"/>
                <w:szCs w:val="16"/>
              </w:rPr>
              <w:t>Obveznice - Serija 25 D-32 I., 327A</w:t>
            </w:r>
          </w:p>
        </w:tc>
        <w:tc>
          <w:tcPr>
            <w:tcW w:w="1275" w:type="dxa"/>
            <w:tcBorders>
              <w:top w:val="single" w:sz="4" w:space="0" w:color="auto"/>
              <w:left w:val="nil"/>
              <w:bottom w:val="nil"/>
              <w:right w:val="single" w:sz="4" w:space="0" w:color="auto"/>
            </w:tcBorders>
            <w:shd w:val="clear" w:color="auto" w:fill="auto"/>
            <w:noWrap/>
            <w:vAlign w:val="center"/>
            <w:hideMark/>
          </w:tcPr>
          <w:p w14:paraId="321E9674" w14:textId="77777777" w:rsidR="00293F62" w:rsidRPr="009548E1" w:rsidRDefault="00293F62" w:rsidP="005C7D38">
            <w:pPr>
              <w:jc w:val="center"/>
              <w:rPr>
                <w:sz w:val="16"/>
                <w:szCs w:val="16"/>
              </w:rPr>
            </w:pPr>
            <w:r w:rsidRPr="009548E1">
              <w:rPr>
                <w:sz w:val="16"/>
                <w:szCs w:val="16"/>
              </w:rPr>
              <w:t>EUR</w:t>
            </w:r>
          </w:p>
        </w:tc>
        <w:tc>
          <w:tcPr>
            <w:tcW w:w="2127" w:type="dxa"/>
            <w:tcBorders>
              <w:top w:val="nil"/>
              <w:left w:val="nil"/>
              <w:bottom w:val="single" w:sz="4" w:space="0" w:color="auto"/>
              <w:right w:val="single" w:sz="4" w:space="0" w:color="auto"/>
            </w:tcBorders>
            <w:shd w:val="clear" w:color="auto" w:fill="auto"/>
            <w:noWrap/>
            <w:vAlign w:val="center"/>
            <w:hideMark/>
          </w:tcPr>
          <w:p w14:paraId="5A7EA3A6" w14:textId="77777777" w:rsidR="00293F62" w:rsidRPr="009548E1" w:rsidRDefault="00293F62" w:rsidP="005C7D38">
            <w:pPr>
              <w:jc w:val="right"/>
              <w:rPr>
                <w:sz w:val="16"/>
                <w:szCs w:val="16"/>
              </w:rPr>
            </w:pPr>
            <w:r w:rsidRPr="009548E1">
              <w:rPr>
                <w:sz w:val="16"/>
                <w:szCs w:val="16"/>
              </w:rPr>
              <w:t>405.039.501,12</w:t>
            </w:r>
          </w:p>
        </w:tc>
      </w:tr>
      <w:tr w:rsidR="00293F62" w:rsidRPr="009548E1" w14:paraId="568E73BA"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F09E88" w14:textId="77777777" w:rsidR="00293F62" w:rsidRPr="009548E1" w:rsidRDefault="00293F62" w:rsidP="005C7D38">
            <w:pPr>
              <w:jc w:val="center"/>
              <w:rPr>
                <w:sz w:val="16"/>
                <w:szCs w:val="16"/>
              </w:rPr>
            </w:pPr>
            <w:r w:rsidRPr="009548E1">
              <w:rPr>
                <w:sz w:val="16"/>
                <w:szCs w:val="16"/>
              </w:rPr>
              <w:t>7.</w:t>
            </w:r>
          </w:p>
        </w:tc>
        <w:tc>
          <w:tcPr>
            <w:tcW w:w="3430" w:type="dxa"/>
            <w:tcBorders>
              <w:top w:val="nil"/>
              <w:left w:val="nil"/>
              <w:bottom w:val="single" w:sz="4" w:space="0" w:color="auto"/>
              <w:right w:val="single" w:sz="4" w:space="0" w:color="auto"/>
            </w:tcBorders>
            <w:shd w:val="clear" w:color="auto" w:fill="auto"/>
            <w:noWrap/>
            <w:vAlign w:val="center"/>
            <w:hideMark/>
          </w:tcPr>
          <w:p w14:paraId="52FE9914" w14:textId="77777777" w:rsidR="00293F62" w:rsidRPr="009548E1" w:rsidRDefault="00293F62" w:rsidP="005C7D38">
            <w:pPr>
              <w:rPr>
                <w:sz w:val="16"/>
                <w:szCs w:val="16"/>
              </w:rPr>
            </w:pPr>
            <w:r w:rsidRPr="009548E1">
              <w:rPr>
                <w:sz w:val="16"/>
                <w:szCs w:val="16"/>
              </w:rPr>
              <w:t>Obveznice - Serija 27 D-29, 297A</w:t>
            </w:r>
          </w:p>
        </w:tc>
        <w:tc>
          <w:tcPr>
            <w:tcW w:w="1275" w:type="dxa"/>
            <w:tcBorders>
              <w:top w:val="single" w:sz="4" w:space="0" w:color="auto"/>
              <w:left w:val="nil"/>
              <w:bottom w:val="nil"/>
              <w:right w:val="single" w:sz="4" w:space="0" w:color="auto"/>
            </w:tcBorders>
            <w:shd w:val="clear" w:color="auto" w:fill="auto"/>
            <w:noWrap/>
            <w:vAlign w:val="center"/>
            <w:hideMark/>
          </w:tcPr>
          <w:p w14:paraId="0C436DA9" w14:textId="77777777" w:rsidR="00293F62" w:rsidRPr="009548E1" w:rsidRDefault="00293F62" w:rsidP="005C7D38">
            <w:pPr>
              <w:jc w:val="center"/>
              <w:rPr>
                <w:sz w:val="16"/>
                <w:szCs w:val="16"/>
              </w:rPr>
            </w:pPr>
            <w:r w:rsidRPr="009548E1">
              <w:rPr>
                <w:sz w:val="16"/>
                <w:szCs w:val="16"/>
              </w:rPr>
              <w:t>EUR</w:t>
            </w:r>
          </w:p>
        </w:tc>
        <w:tc>
          <w:tcPr>
            <w:tcW w:w="2127" w:type="dxa"/>
            <w:tcBorders>
              <w:top w:val="nil"/>
              <w:left w:val="nil"/>
              <w:bottom w:val="single" w:sz="4" w:space="0" w:color="auto"/>
              <w:right w:val="single" w:sz="4" w:space="0" w:color="auto"/>
            </w:tcBorders>
            <w:shd w:val="clear" w:color="auto" w:fill="auto"/>
            <w:noWrap/>
            <w:vAlign w:val="center"/>
            <w:hideMark/>
          </w:tcPr>
          <w:p w14:paraId="11D29442" w14:textId="77777777" w:rsidR="00293F62" w:rsidRPr="009548E1" w:rsidRDefault="00293F62" w:rsidP="005C7D38">
            <w:pPr>
              <w:jc w:val="right"/>
              <w:rPr>
                <w:sz w:val="16"/>
                <w:szCs w:val="16"/>
              </w:rPr>
            </w:pPr>
            <w:r w:rsidRPr="009548E1">
              <w:rPr>
                <w:sz w:val="16"/>
                <w:szCs w:val="16"/>
              </w:rPr>
              <w:t>1.327.228.083,70</w:t>
            </w:r>
          </w:p>
        </w:tc>
      </w:tr>
      <w:tr w:rsidR="00293F62" w:rsidRPr="009548E1" w14:paraId="48947D15"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FA98E9" w14:textId="77777777" w:rsidR="00293F62" w:rsidRPr="009548E1" w:rsidRDefault="00293F62" w:rsidP="005C7D38">
            <w:pPr>
              <w:jc w:val="center"/>
              <w:rPr>
                <w:sz w:val="16"/>
                <w:szCs w:val="16"/>
              </w:rPr>
            </w:pPr>
            <w:r w:rsidRPr="009548E1">
              <w:rPr>
                <w:sz w:val="16"/>
                <w:szCs w:val="16"/>
              </w:rPr>
              <w:t>8.</w:t>
            </w:r>
          </w:p>
        </w:tc>
        <w:tc>
          <w:tcPr>
            <w:tcW w:w="3430" w:type="dxa"/>
            <w:tcBorders>
              <w:top w:val="nil"/>
              <w:left w:val="nil"/>
              <w:bottom w:val="single" w:sz="4" w:space="0" w:color="auto"/>
              <w:right w:val="single" w:sz="4" w:space="0" w:color="auto"/>
            </w:tcBorders>
            <w:shd w:val="clear" w:color="auto" w:fill="auto"/>
            <w:noWrap/>
            <w:vAlign w:val="center"/>
            <w:hideMark/>
          </w:tcPr>
          <w:p w14:paraId="75C90386" w14:textId="77777777" w:rsidR="00293F62" w:rsidRPr="009548E1" w:rsidRDefault="00293F62" w:rsidP="005C7D38">
            <w:pPr>
              <w:rPr>
                <w:sz w:val="16"/>
                <w:szCs w:val="16"/>
              </w:rPr>
            </w:pPr>
            <w:r w:rsidRPr="009548E1">
              <w:rPr>
                <w:sz w:val="16"/>
                <w:szCs w:val="16"/>
              </w:rPr>
              <w:t>Obveznice - Serija 29 D-24, 24BA</w:t>
            </w:r>
          </w:p>
        </w:tc>
        <w:tc>
          <w:tcPr>
            <w:tcW w:w="1275" w:type="dxa"/>
            <w:tcBorders>
              <w:top w:val="single" w:sz="4" w:space="0" w:color="auto"/>
              <w:left w:val="nil"/>
              <w:bottom w:val="nil"/>
              <w:right w:val="single" w:sz="4" w:space="0" w:color="auto"/>
            </w:tcBorders>
            <w:shd w:val="clear" w:color="auto" w:fill="auto"/>
            <w:noWrap/>
            <w:vAlign w:val="center"/>
            <w:hideMark/>
          </w:tcPr>
          <w:p w14:paraId="3B992690" w14:textId="77777777" w:rsidR="00293F62" w:rsidRPr="009548E1" w:rsidRDefault="00293F62" w:rsidP="005C7D38">
            <w:pPr>
              <w:jc w:val="center"/>
              <w:rPr>
                <w:sz w:val="16"/>
                <w:szCs w:val="16"/>
              </w:rPr>
            </w:pPr>
            <w:r w:rsidRPr="009548E1">
              <w:rPr>
                <w:sz w:val="16"/>
                <w:szCs w:val="16"/>
              </w:rPr>
              <w:t>EUR</w:t>
            </w:r>
          </w:p>
        </w:tc>
        <w:tc>
          <w:tcPr>
            <w:tcW w:w="2127" w:type="dxa"/>
            <w:tcBorders>
              <w:top w:val="nil"/>
              <w:left w:val="nil"/>
              <w:bottom w:val="single" w:sz="4" w:space="0" w:color="auto"/>
              <w:right w:val="single" w:sz="4" w:space="0" w:color="auto"/>
            </w:tcBorders>
            <w:shd w:val="clear" w:color="auto" w:fill="auto"/>
            <w:noWrap/>
            <w:vAlign w:val="center"/>
            <w:hideMark/>
          </w:tcPr>
          <w:p w14:paraId="7D6937F4" w14:textId="77777777" w:rsidR="00293F62" w:rsidRPr="009548E1" w:rsidRDefault="00293F62" w:rsidP="005C7D38">
            <w:pPr>
              <w:jc w:val="right"/>
              <w:rPr>
                <w:sz w:val="16"/>
                <w:szCs w:val="16"/>
              </w:rPr>
            </w:pPr>
            <w:r w:rsidRPr="009548E1">
              <w:rPr>
                <w:sz w:val="16"/>
                <w:szCs w:val="16"/>
              </w:rPr>
              <w:t>464.529.829,17</w:t>
            </w:r>
          </w:p>
        </w:tc>
      </w:tr>
      <w:tr w:rsidR="00293F62" w:rsidRPr="009548E1" w14:paraId="60F43E24"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8F68C6" w14:textId="77777777" w:rsidR="00293F62" w:rsidRPr="009548E1" w:rsidRDefault="00293F62" w:rsidP="005C7D38">
            <w:pPr>
              <w:jc w:val="center"/>
              <w:rPr>
                <w:sz w:val="16"/>
                <w:szCs w:val="16"/>
              </w:rPr>
            </w:pPr>
            <w:r w:rsidRPr="009548E1">
              <w:rPr>
                <w:sz w:val="16"/>
                <w:szCs w:val="16"/>
              </w:rPr>
              <w:t>9.</w:t>
            </w:r>
          </w:p>
        </w:tc>
        <w:tc>
          <w:tcPr>
            <w:tcW w:w="3430" w:type="dxa"/>
            <w:tcBorders>
              <w:top w:val="nil"/>
              <w:left w:val="nil"/>
              <w:bottom w:val="single" w:sz="4" w:space="0" w:color="auto"/>
              <w:right w:val="single" w:sz="4" w:space="0" w:color="auto"/>
            </w:tcBorders>
            <w:shd w:val="clear" w:color="auto" w:fill="auto"/>
            <w:noWrap/>
            <w:vAlign w:val="center"/>
            <w:hideMark/>
          </w:tcPr>
          <w:p w14:paraId="2FB314C0" w14:textId="77777777" w:rsidR="00293F62" w:rsidRPr="009548E1" w:rsidRDefault="00293F62" w:rsidP="005C7D38">
            <w:pPr>
              <w:rPr>
                <w:sz w:val="16"/>
                <w:szCs w:val="16"/>
              </w:rPr>
            </w:pPr>
            <w:r w:rsidRPr="009548E1">
              <w:rPr>
                <w:sz w:val="16"/>
                <w:szCs w:val="16"/>
              </w:rPr>
              <w:t>Obveznice - Serija 30 D-34 I., 34BA</w:t>
            </w:r>
          </w:p>
        </w:tc>
        <w:tc>
          <w:tcPr>
            <w:tcW w:w="1275" w:type="dxa"/>
            <w:tcBorders>
              <w:top w:val="single" w:sz="4" w:space="0" w:color="auto"/>
              <w:left w:val="nil"/>
              <w:bottom w:val="nil"/>
              <w:right w:val="single" w:sz="4" w:space="0" w:color="auto"/>
            </w:tcBorders>
            <w:shd w:val="clear" w:color="auto" w:fill="auto"/>
            <w:noWrap/>
            <w:vAlign w:val="center"/>
            <w:hideMark/>
          </w:tcPr>
          <w:p w14:paraId="042FD2A9" w14:textId="77777777" w:rsidR="00293F62" w:rsidRPr="009548E1" w:rsidRDefault="00293F62" w:rsidP="005C7D38">
            <w:pPr>
              <w:jc w:val="center"/>
              <w:rPr>
                <w:sz w:val="16"/>
                <w:szCs w:val="16"/>
              </w:rPr>
            </w:pPr>
            <w:r w:rsidRPr="009548E1">
              <w:rPr>
                <w:sz w:val="16"/>
                <w:szCs w:val="16"/>
              </w:rPr>
              <w:t>EUR</w:t>
            </w:r>
          </w:p>
        </w:tc>
        <w:tc>
          <w:tcPr>
            <w:tcW w:w="2127" w:type="dxa"/>
            <w:tcBorders>
              <w:top w:val="nil"/>
              <w:left w:val="nil"/>
              <w:bottom w:val="single" w:sz="4" w:space="0" w:color="auto"/>
              <w:right w:val="single" w:sz="4" w:space="0" w:color="auto"/>
            </w:tcBorders>
            <w:shd w:val="clear" w:color="auto" w:fill="auto"/>
            <w:noWrap/>
            <w:vAlign w:val="center"/>
            <w:hideMark/>
          </w:tcPr>
          <w:p w14:paraId="39B146C1" w14:textId="77777777" w:rsidR="00293F62" w:rsidRPr="009548E1" w:rsidRDefault="00293F62" w:rsidP="005C7D38">
            <w:pPr>
              <w:jc w:val="right"/>
              <w:rPr>
                <w:sz w:val="16"/>
                <w:szCs w:val="16"/>
              </w:rPr>
            </w:pPr>
            <w:r w:rsidRPr="009548E1">
              <w:rPr>
                <w:sz w:val="16"/>
                <w:szCs w:val="16"/>
              </w:rPr>
              <w:t>1.547.331.109,44</w:t>
            </w:r>
          </w:p>
        </w:tc>
      </w:tr>
      <w:tr w:rsidR="00293F62" w:rsidRPr="009548E1" w14:paraId="2FC2C92C"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00D7BA" w14:textId="77777777" w:rsidR="00293F62" w:rsidRPr="009548E1" w:rsidRDefault="00293F62" w:rsidP="005C7D38">
            <w:pPr>
              <w:jc w:val="center"/>
              <w:rPr>
                <w:sz w:val="16"/>
                <w:szCs w:val="16"/>
              </w:rPr>
            </w:pPr>
            <w:r w:rsidRPr="009548E1">
              <w:rPr>
                <w:sz w:val="16"/>
                <w:szCs w:val="16"/>
              </w:rPr>
              <w:t>10.</w:t>
            </w:r>
          </w:p>
        </w:tc>
        <w:tc>
          <w:tcPr>
            <w:tcW w:w="3430" w:type="dxa"/>
            <w:tcBorders>
              <w:top w:val="nil"/>
              <w:left w:val="nil"/>
              <w:bottom w:val="single" w:sz="4" w:space="0" w:color="auto"/>
              <w:right w:val="single" w:sz="4" w:space="0" w:color="auto"/>
            </w:tcBorders>
            <w:shd w:val="clear" w:color="auto" w:fill="auto"/>
            <w:noWrap/>
            <w:vAlign w:val="center"/>
            <w:hideMark/>
          </w:tcPr>
          <w:p w14:paraId="5C60BC95" w14:textId="77777777" w:rsidR="00293F62" w:rsidRPr="009548E1" w:rsidRDefault="00293F62" w:rsidP="005C7D38">
            <w:pPr>
              <w:rPr>
                <w:sz w:val="16"/>
                <w:szCs w:val="16"/>
              </w:rPr>
            </w:pPr>
            <w:r w:rsidRPr="009548E1">
              <w:rPr>
                <w:sz w:val="16"/>
                <w:szCs w:val="16"/>
              </w:rPr>
              <w:t>Obveznice - Serija 31 D-40, 403E</w:t>
            </w:r>
          </w:p>
        </w:tc>
        <w:tc>
          <w:tcPr>
            <w:tcW w:w="1275" w:type="dxa"/>
            <w:tcBorders>
              <w:top w:val="single" w:sz="4" w:space="0" w:color="auto"/>
              <w:left w:val="nil"/>
              <w:bottom w:val="nil"/>
              <w:right w:val="single" w:sz="4" w:space="0" w:color="auto"/>
            </w:tcBorders>
            <w:shd w:val="clear" w:color="auto" w:fill="auto"/>
            <w:noWrap/>
            <w:vAlign w:val="center"/>
            <w:hideMark/>
          </w:tcPr>
          <w:p w14:paraId="062F7AF2" w14:textId="77777777" w:rsidR="00293F62" w:rsidRPr="009548E1" w:rsidRDefault="00293F62" w:rsidP="005C7D38">
            <w:pPr>
              <w:jc w:val="center"/>
              <w:rPr>
                <w:sz w:val="16"/>
                <w:szCs w:val="16"/>
              </w:rPr>
            </w:pPr>
            <w:r w:rsidRPr="009548E1">
              <w:rPr>
                <w:sz w:val="16"/>
                <w:szCs w:val="16"/>
              </w:rPr>
              <w:t>EUR</w:t>
            </w:r>
          </w:p>
        </w:tc>
        <w:tc>
          <w:tcPr>
            <w:tcW w:w="2127" w:type="dxa"/>
            <w:tcBorders>
              <w:top w:val="nil"/>
              <w:left w:val="nil"/>
              <w:bottom w:val="single" w:sz="4" w:space="0" w:color="auto"/>
              <w:right w:val="single" w:sz="4" w:space="0" w:color="auto"/>
            </w:tcBorders>
            <w:shd w:val="clear" w:color="auto" w:fill="auto"/>
            <w:noWrap/>
            <w:vAlign w:val="center"/>
            <w:hideMark/>
          </w:tcPr>
          <w:p w14:paraId="668C4F15" w14:textId="77777777" w:rsidR="00293F62" w:rsidRPr="009548E1" w:rsidRDefault="00293F62" w:rsidP="005C7D38">
            <w:pPr>
              <w:jc w:val="right"/>
              <w:rPr>
                <w:sz w:val="16"/>
                <w:szCs w:val="16"/>
              </w:rPr>
            </w:pPr>
            <w:r w:rsidRPr="009548E1">
              <w:rPr>
                <w:sz w:val="16"/>
                <w:szCs w:val="16"/>
              </w:rPr>
              <w:t>800.000.000,00</w:t>
            </w:r>
          </w:p>
        </w:tc>
      </w:tr>
      <w:tr w:rsidR="00293F62" w:rsidRPr="009548E1" w14:paraId="06447EC1"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AC7014" w14:textId="77777777" w:rsidR="00293F62" w:rsidRPr="009548E1" w:rsidRDefault="00293F62" w:rsidP="005C7D38">
            <w:pPr>
              <w:jc w:val="center"/>
              <w:rPr>
                <w:sz w:val="16"/>
                <w:szCs w:val="16"/>
              </w:rPr>
            </w:pPr>
            <w:r w:rsidRPr="009548E1">
              <w:rPr>
                <w:sz w:val="16"/>
                <w:szCs w:val="16"/>
              </w:rPr>
              <w:t>11.</w:t>
            </w:r>
          </w:p>
        </w:tc>
        <w:tc>
          <w:tcPr>
            <w:tcW w:w="3430" w:type="dxa"/>
            <w:tcBorders>
              <w:top w:val="nil"/>
              <w:left w:val="nil"/>
              <w:bottom w:val="single" w:sz="4" w:space="0" w:color="auto"/>
              <w:right w:val="single" w:sz="4" w:space="0" w:color="auto"/>
            </w:tcBorders>
            <w:shd w:val="clear" w:color="auto" w:fill="auto"/>
            <w:noWrap/>
            <w:vAlign w:val="center"/>
            <w:hideMark/>
          </w:tcPr>
          <w:p w14:paraId="185499F7" w14:textId="77777777" w:rsidR="00293F62" w:rsidRPr="009548E1" w:rsidRDefault="00293F62" w:rsidP="005C7D38">
            <w:pPr>
              <w:rPr>
                <w:sz w:val="16"/>
                <w:szCs w:val="16"/>
              </w:rPr>
            </w:pPr>
            <w:r w:rsidRPr="009548E1">
              <w:rPr>
                <w:sz w:val="16"/>
                <w:szCs w:val="16"/>
              </w:rPr>
              <w:t>Obveznice - Serija 32 D-25, 253A</w:t>
            </w:r>
          </w:p>
        </w:tc>
        <w:tc>
          <w:tcPr>
            <w:tcW w:w="1275" w:type="dxa"/>
            <w:tcBorders>
              <w:top w:val="single" w:sz="4" w:space="0" w:color="auto"/>
              <w:left w:val="nil"/>
              <w:bottom w:val="nil"/>
              <w:right w:val="single" w:sz="4" w:space="0" w:color="auto"/>
            </w:tcBorders>
            <w:shd w:val="clear" w:color="auto" w:fill="auto"/>
            <w:noWrap/>
            <w:vAlign w:val="center"/>
            <w:hideMark/>
          </w:tcPr>
          <w:p w14:paraId="00A36563" w14:textId="77777777" w:rsidR="00293F62" w:rsidRPr="009548E1" w:rsidRDefault="00293F62" w:rsidP="005C7D38">
            <w:pPr>
              <w:jc w:val="center"/>
              <w:rPr>
                <w:sz w:val="16"/>
                <w:szCs w:val="16"/>
              </w:rPr>
            </w:pPr>
            <w:r w:rsidRPr="009548E1">
              <w:rPr>
                <w:sz w:val="16"/>
                <w:szCs w:val="16"/>
              </w:rPr>
              <w:t>EUR</w:t>
            </w:r>
          </w:p>
        </w:tc>
        <w:tc>
          <w:tcPr>
            <w:tcW w:w="2127" w:type="dxa"/>
            <w:tcBorders>
              <w:top w:val="nil"/>
              <w:left w:val="nil"/>
              <w:bottom w:val="single" w:sz="4" w:space="0" w:color="auto"/>
              <w:right w:val="single" w:sz="4" w:space="0" w:color="auto"/>
            </w:tcBorders>
            <w:shd w:val="clear" w:color="auto" w:fill="auto"/>
            <w:noWrap/>
            <w:vAlign w:val="center"/>
            <w:hideMark/>
          </w:tcPr>
          <w:p w14:paraId="1775337A" w14:textId="77777777" w:rsidR="00293F62" w:rsidRPr="009548E1" w:rsidRDefault="00293F62" w:rsidP="005C7D38">
            <w:pPr>
              <w:jc w:val="right"/>
              <w:rPr>
                <w:sz w:val="16"/>
                <w:szCs w:val="16"/>
              </w:rPr>
            </w:pPr>
            <w:r w:rsidRPr="009548E1">
              <w:rPr>
                <w:sz w:val="16"/>
                <w:szCs w:val="16"/>
              </w:rPr>
              <w:t>663.614.041,83</w:t>
            </w:r>
          </w:p>
        </w:tc>
      </w:tr>
      <w:tr w:rsidR="00293F62" w:rsidRPr="009548E1" w14:paraId="615DE218"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BF7045" w14:textId="77777777" w:rsidR="00293F62" w:rsidRPr="009548E1" w:rsidRDefault="00293F62" w:rsidP="005C7D38">
            <w:pPr>
              <w:jc w:val="center"/>
              <w:rPr>
                <w:sz w:val="16"/>
                <w:szCs w:val="16"/>
              </w:rPr>
            </w:pPr>
            <w:r w:rsidRPr="009548E1">
              <w:rPr>
                <w:sz w:val="16"/>
                <w:szCs w:val="16"/>
              </w:rPr>
              <w:t>12.</w:t>
            </w:r>
          </w:p>
        </w:tc>
        <w:tc>
          <w:tcPr>
            <w:tcW w:w="3430" w:type="dxa"/>
            <w:tcBorders>
              <w:top w:val="nil"/>
              <w:left w:val="nil"/>
              <w:bottom w:val="single" w:sz="4" w:space="0" w:color="auto"/>
              <w:right w:val="single" w:sz="4" w:space="0" w:color="auto"/>
            </w:tcBorders>
            <w:shd w:val="clear" w:color="auto" w:fill="auto"/>
            <w:noWrap/>
            <w:vAlign w:val="center"/>
            <w:hideMark/>
          </w:tcPr>
          <w:p w14:paraId="2742C11A" w14:textId="77777777" w:rsidR="00293F62" w:rsidRPr="009548E1" w:rsidRDefault="00293F62" w:rsidP="005C7D38">
            <w:pPr>
              <w:rPr>
                <w:sz w:val="16"/>
                <w:szCs w:val="16"/>
              </w:rPr>
            </w:pPr>
            <w:r w:rsidRPr="009548E1">
              <w:rPr>
                <w:sz w:val="16"/>
                <w:szCs w:val="16"/>
              </w:rPr>
              <w:t>Obveznice - Serija 33 D-27, 275E</w:t>
            </w:r>
          </w:p>
        </w:tc>
        <w:tc>
          <w:tcPr>
            <w:tcW w:w="1275" w:type="dxa"/>
            <w:tcBorders>
              <w:top w:val="single" w:sz="4" w:space="0" w:color="auto"/>
              <w:left w:val="nil"/>
              <w:bottom w:val="nil"/>
              <w:right w:val="single" w:sz="4" w:space="0" w:color="auto"/>
            </w:tcBorders>
            <w:shd w:val="clear" w:color="auto" w:fill="auto"/>
            <w:noWrap/>
            <w:vAlign w:val="center"/>
            <w:hideMark/>
          </w:tcPr>
          <w:p w14:paraId="46F6BCDA" w14:textId="77777777" w:rsidR="00293F62" w:rsidRPr="009548E1" w:rsidRDefault="00293F62" w:rsidP="005C7D38">
            <w:pPr>
              <w:jc w:val="center"/>
              <w:rPr>
                <w:sz w:val="16"/>
                <w:szCs w:val="16"/>
              </w:rPr>
            </w:pPr>
            <w:r w:rsidRPr="009548E1">
              <w:rPr>
                <w:sz w:val="16"/>
                <w:szCs w:val="16"/>
              </w:rPr>
              <w:t>EUR</w:t>
            </w:r>
          </w:p>
        </w:tc>
        <w:tc>
          <w:tcPr>
            <w:tcW w:w="2127" w:type="dxa"/>
            <w:tcBorders>
              <w:top w:val="nil"/>
              <w:left w:val="nil"/>
              <w:bottom w:val="single" w:sz="4" w:space="0" w:color="auto"/>
              <w:right w:val="single" w:sz="4" w:space="0" w:color="auto"/>
            </w:tcBorders>
            <w:shd w:val="clear" w:color="auto" w:fill="auto"/>
            <w:noWrap/>
            <w:vAlign w:val="center"/>
            <w:hideMark/>
          </w:tcPr>
          <w:p w14:paraId="02B7D473" w14:textId="77777777" w:rsidR="00293F62" w:rsidRPr="009548E1" w:rsidRDefault="00293F62" w:rsidP="005C7D38">
            <w:pPr>
              <w:jc w:val="right"/>
              <w:rPr>
                <w:sz w:val="16"/>
                <w:szCs w:val="16"/>
              </w:rPr>
            </w:pPr>
            <w:r w:rsidRPr="009548E1">
              <w:rPr>
                <w:sz w:val="16"/>
                <w:szCs w:val="16"/>
              </w:rPr>
              <w:t>1.445.000.000,00</w:t>
            </w:r>
          </w:p>
        </w:tc>
      </w:tr>
      <w:tr w:rsidR="00293F62" w:rsidRPr="009548E1" w14:paraId="083238DC"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B793E7" w14:textId="77777777" w:rsidR="00293F62" w:rsidRPr="009548E1" w:rsidRDefault="00293F62" w:rsidP="005C7D38">
            <w:pPr>
              <w:jc w:val="center"/>
              <w:rPr>
                <w:sz w:val="16"/>
                <w:szCs w:val="16"/>
              </w:rPr>
            </w:pPr>
            <w:r w:rsidRPr="009548E1">
              <w:rPr>
                <w:sz w:val="16"/>
                <w:szCs w:val="16"/>
              </w:rPr>
              <w:t>13.</w:t>
            </w:r>
          </w:p>
        </w:tc>
        <w:tc>
          <w:tcPr>
            <w:tcW w:w="3430" w:type="dxa"/>
            <w:tcBorders>
              <w:top w:val="nil"/>
              <w:left w:val="nil"/>
              <w:bottom w:val="single" w:sz="4" w:space="0" w:color="auto"/>
              <w:right w:val="single" w:sz="4" w:space="0" w:color="auto"/>
            </w:tcBorders>
            <w:shd w:val="clear" w:color="auto" w:fill="auto"/>
            <w:noWrap/>
            <w:vAlign w:val="center"/>
            <w:hideMark/>
          </w:tcPr>
          <w:p w14:paraId="42B1E5F3" w14:textId="77777777" w:rsidR="00293F62" w:rsidRPr="009548E1" w:rsidRDefault="00293F62" w:rsidP="005C7D38">
            <w:pPr>
              <w:rPr>
                <w:sz w:val="16"/>
                <w:szCs w:val="16"/>
              </w:rPr>
            </w:pPr>
            <w:r w:rsidRPr="009548E1">
              <w:rPr>
                <w:sz w:val="16"/>
                <w:szCs w:val="16"/>
              </w:rPr>
              <w:t>Obveznice - Serija 34 D-28, 287A</w:t>
            </w:r>
          </w:p>
        </w:tc>
        <w:tc>
          <w:tcPr>
            <w:tcW w:w="1275" w:type="dxa"/>
            <w:tcBorders>
              <w:top w:val="single" w:sz="4" w:space="0" w:color="auto"/>
              <w:left w:val="nil"/>
              <w:bottom w:val="nil"/>
              <w:right w:val="single" w:sz="4" w:space="0" w:color="auto"/>
            </w:tcBorders>
            <w:shd w:val="clear" w:color="auto" w:fill="auto"/>
            <w:noWrap/>
            <w:vAlign w:val="center"/>
            <w:hideMark/>
          </w:tcPr>
          <w:p w14:paraId="3DCF7DBC" w14:textId="77777777" w:rsidR="00293F62" w:rsidRPr="009548E1" w:rsidRDefault="00293F62" w:rsidP="005C7D38">
            <w:pPr>
              <w:jc w:val="center"/>
              <w:rPr>
                <w:sz w:val="16"/>
                <w:szCs w:val="16"/>
              </w:rPr>
            </w:pPr>
            <w:r w:rsidRPr="009548E1">
              <w:rPr>
                <w:sz w:val="16"/>
                <w:szCs w:val="16"/>
              </w:rPr>
              <w:t>EUR</w:t>
            </w:r>
          </w:p>
        </w:tc>
        <w:tc>
          <w:tcPr>
            <w:tcW w:w="2127" w:type="dxa"/>
            <w:tcBorders>
              <w:top w:val="nil"/>
              <w:left w:val="nil"/>
              <w:bottom w:val="single" w:sz="4" w:space="0" w:color="auto"/>
              <w:right w:val="single" w:sz="4" w:space="0" w:color="auto"/>
            </w:tcBorders>
            <w:shd w:val="clear" w:color="auto" w:fill="auto"/>
            <w:noWrap/>
            <w:vAlign w:val="center"/>
            <w:hideMark/>
          </w:tcPr>
          <w:p w14:paraId="5C1762B2" w14:textId="77777777" w:rsidR="00293F62" w:rsidRPr="009548E1" w:rsidRDefault="00293F62" w:rsidP="005C7D38">
            <w:pPr>
              <w:jc w:val="right"/>
              <w:rPr>
                <w:sz w:val="16"/>
                <w:szCs w:val="16"/>
              </w:rPr>
            </w:pPr>
            <w:r w:rsidRPr="009548E1">
              <w:rPr>
                <w:sz w:val="16"/>
                <w:szCs w:val="16"/>
              </w:rPr>
              <w:t>1.194.505.275,36</w:t>
            </w:r>
          </w:p>
        </w:tc>
      </w:tr>
      <w:tr w:rsidR="00293F62" w:rsidRPr="009548E1" w14:paraId="0623B907"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BBFC82" w14:textId="77777777" w:rsidR="00293F62" w:rsidRPr="009548E1" w:rsidRDefault="00293F62" w:rsidP="005C7D38">
            <w:pPr>
              <w:jc w:val="center"/>
              <w:rPr>
                <w:sz w:val="16"/>
                <w:szCs w:val="16"/>
              </w:rPr>
            </w:pPr>
            <w:r w:rsidRPr="009548E1">
              <w:rPr>
                <w:sz w:val="16"/>
                <w:szCs w:val="16"/>
              </w:rPr>
              <w:t>14.</w:t>
            </w:r>
          </w:p>
        </w:tc>
        <w:tc>
          <w:tcPr>
            <w:tcW w:w="3430" w:type="dxa"/>
            <w:tcBorders>
              <w:top w:val="nil"/>
              <w:left w:val="nil"/>
              <w:bottom w:val="single" w:sz="4" w:space="0" w:color="auto"/>
              <w:right w:val="single" w:sz="4" w:space="0" w:color="auto"/>
            </w:tcBorders>
            <w:shd w:val="clear" w:color="auto" w:fill="auto"/>
            <w:noWrap/>
            <w:vAlign w:val="center"/>
            <w:hideMark/>
          </w:tcPr>
          <w:p w14:paraId="0BD2BDA1" w14:textId="77777777" w:rsidR="00293F62" w:rsidRPr="009548E1" w:rsidRDefault="00293F62" w:rsidP="005C7D38">
            <w:pPr>
              <w:rPr>
                <w:sz w:val="16"/>
                <w:szCs w:val="16"/>
              </w:rPr>
            </w:pPr>
            <w:r w:rsidRPr="009548E1">
              <w:rPr>
                <w:sz w:val="16"/>
                <w:szCs w:val="16"/>
              </w:rPr>
              <w:t>Obveznice - Serija 35 D-30, 302E</w:t>
            </w:r>
          </w:p>
        </w:tc>
        <w:tc>
          <w:tcPr>
            <w:tcW w:w="1275" w:type="dxa"/>
            <w:tcBorders>
              <w:top w:val="single" w:sz="4" w:space="0" w:color="auto"/>
              <w:left w:val="nil"/>
              <w:bottom w:val="nil"/>
              <w:right w:val="single" w:sz="4" w:space="0" w:color="auto"/>
            </w:tcBorders>
            <w:shd w:val="clear" w:color="auto" w:fill="auto"/>
            <w:noWrap/>
            <w:vAlign w:val="center"/>
            <w:hideMark/>
          </w:tcPr>
          <w:p w14:paraId="2EC17805" w14:textId="77777777" w:rsidR="00293F62" w:rsidRPr="009548E1" w:rsidRDefault="00293F62" w:rsidP="005C7D38">
            <w:pPr>
              <w:jc w:val="center"/>
              <w:rPr>
                <w:sz w:val="16"/>
                <w:szCs w:val="16"/>
              </w:rPr>
            </w:pPr>
            <w:r w:rsidRPr="009548E1">
              <w:rPr>
                <w:sz w:val="16"/>
                <w:szCs w:val="16"/>
              </w:rPr>
              <w:t>EUR</w:t>
            </w:r>
          </w:p>
        </w:tc>
        <w:tc>
          <w:tcPr>
            <w:tcW w:w="2127" w:type="dxa"/>
            <w:tcBorders>
              <w:top w:val="nil"/>
              <w:left w:val="nil"/>
              <w:bottom w:val="single" w:sz="4" w:space="0" w:color="auto"/>
              <w:right w:val="single" w:sz="4" w:space="0" w:color="auto"/>
            </w:tcBorders>
            <w:shd w:val="clear" w:color="auto" w:fill="auto"/>
            <w:noWrap/>
            <w:vAlign w:val="center"/>
            <w:hideMark/>
          </w:tcPr>
          <w:p w14:paraId="4F2629F0" w14:textId="77777777" w:rsidR="00293F62" w:rsidRPr="009548E1" w:rsidRDefault="00293F62" w:rsidP="005C7D38">
            <w:pPr>
              <w:jc w:val="right"/>
              <w:rPr>
                <w:sz w:val="16"/>
                <w:szCs w:val="16"/>
              </w:rPr>
            </w:pPr>
            <w:r w:rsidRPr="009548E1">
              <w:rPr>
                <w:sz w:val="16"/>
                <w:szCs w:val="16"/>
              </w:rPr>
              <w:t>1.000.000.000,00</w:t>
            </w:r>
          </w:p>
        </w:tc>
      </w:tr>
      <w:tr w:rsidR="00293F62" w:rsidRPr="009548E1" w14:paraId="15D511BF"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7DF70B" w14:textId="77777777" w:rsidR="00293F62" w:rsidRPr="009548E1" w:rsidRDefault="00293F62" w:rsidP="005C7D38">
            <w:pPr>
              <w:jc w:val="center"/>
              <w:rPr>
                <w:sz w:val="16"/>
                <w:szCs w:val="16"/>
              </w:rPr>
            </w:pPr>
            <w:r w:rsidRPr="009548E1">
              <w:rPr>
                <w:sz w:val="16"/>
                <w:szCs w:val="16"/>
              </w:rPr>
              <w:t>15.</w:t>
            </w:r>
          </w:p>
        </w:tc>
        <w:tc>
          <w:tcPr>
            <w:tcW w:w="3430" w:type="dxa"/>
            <w:tcBorders>
              <w:top w:val="nil"/>
              <w:left w:val="nil"/>
              <w:bottom w:val="single" w:sz="4" w:space="0" w:color="auto"/>
              <w:right w:val="single" w:sz="4" w:space="0" w:color="auto"/>
            </w:tcBorders>
            <w:shd w:val="clear" w:color="auto" w:fill="auto"/>
            <w:noWrap/>
            <w:vAlign w:val="center"/>
            <w:hideMark/>
          </w:tcPr>
          <w:p w14:paraId="327B2EFF" w14:textId="77777777" w:rsidR="00293F62" w:rsidRPr="009548E1" w:rsidRDefault="00293F62" w:rsidP="005C7D38">
            <w:pPr>
              <w:rPr>
                <w:sz w:val="16"/>
                <w:szCs w:val="16"/>
              </w:rPr>
            </w:pPr>
            <w:r w:rsidRPr="009548E1">
              <w:rPr>
                <w:sz w:val="16"/>
                <w:szCs w:val="16"/>
              </w:rPr>
              <w:t>Obveznice - Serija 36 D-26, 267E</w:t>
            </w:r>
          </w:p>
        </w:tc>
        <w:tc>
          <w:tcPr>
            <w:tcW w:w="1275" w:type="dxa"/>
            <w:tcBorders>
              <w:top w:val="single" w:sz="4" w:space="0" w:color="auto"/>
              <w:left w:val="nil"/>
              <w:bottom w:val="nil"/>
              <w:right w:val="single" w:sz="4" w:space="0" w:color="auto"/>
            </w:tcBorders>
            <w:shd w:val="clear" w:color="auto" w:fill="auto"/>
            <w:noWrap/>
            <w:vAlign w:val="center"/>
            <w:hideMark/>
          </w:tcPr>
          <w:p w14:paraId="3AC6C9D9" w14:textId="77777777" w:rsidR="00293F62" w:rsidRPr="009548E1" w:rsidRDefault="00293F62" w:rsidP="005C7D38">
            <w:pPr>
              <w:jc w:val="center"/>
              <w:rPr>
                <w:sz w:val="16"/>
                <w:szCs w:val="16"/>
              </w:rPr>
            </w:pPr>
            <w:r w:rsidRPr="009548E1">
              <w:rPr>
                <w:sz w:val="16"/>
                <w:szCs w:val="16"/>
              </w:rPr>
              <w:t>EUR</w:t>
            </w:r>
          </w:p>
        </w:tc>
        <w:tc>
          <w:tcPr>
            <w:tcW w:w="2127" w:type="dxa"/>
            <w:tcBorders>
              <w:top w:val="nil"/>
              <w:left w:val="nil"/>
              <w:bottom w:val="single" w:sz="4" w:space="0" w:color="auto"/>
              <w:right w:val="single" w:sz="4" w:space="0" w:color="auto"/>
            </w:tcBorders>
            <w:shd w:val="clear" w:color="auto" w:fill="auto"/>
            <w:noWrap/>
            <w:vAlign w:val="center"/>
            <w:hideMark/>
          </w:tcPr>
          <w:p w14:paraId="773A622B" w14:textId="77777777" w:rsidR="00293F62" w:rsidRPr="009548E1" w:rsidRDefault="00293F62" w:rsidP="005C7D38">
            <w:pPr>
              <w:jc w:val="right"/>
              <w:rPr>
                <w:sz w:val="16"/>
                <w:szCs w:val="16"/>
              </w:rPr>
            </w:pPr>
            <w:r w:rsidRPr="009548E1">
              <w:rPr>
                <w:sz w:val="16"/>
                <w:szCs w:val="16"/>
              </w:rPr>
              <w:t>400.000.000,00</w:t>
            </w:r>
          </w:p>
        </w:tc>
      </w:tr>
      <w:tr w:rsidR="00293F62" w:rsidRPr="009548E1" w14:paraId="09812FB2"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168542" w14:textId="77777777" w:rsidR="00293F62" w:rsidRPr="009548E1" w:rsidRDefault="00293F62" w:rsidP="005C7D38">
            <w:pPr>
              <w:jc w:val="center"/>
              <w:rPr>
                <w:sz w:val="16"/>
                <w:szCs w:val="16"/>
              </w:rPr>
            </w:pPr>
            <w:r w:rsidRPr="009548E1">
              <w:rPr>
                <w:sz w:val="16"/>
                <w:szCs w:val="16"/>
              </w:rPr>
              <w:t>16.</w:t>
            </w:r>
          </w:p>
        </w:tc>
        <w:tc>
          <w:tcPr>
            <w:tcW w:w="3430" w:type="dxa"/>
            <w:tcBorders>
              <w:top w:val="nil"/>
              <w:left w:val="nil"/>
              <w:bottom w:val="single" w:sz="4" w:space="0" w:color="auto"/>
              <w:right w:val="single" w:sz="4" w:space="0" w:color="auto"/>
            </w:tcBorders>
            <w:shd w:val="clear" w:color="auto" w:fill="auto"/>
            <w:noWrap/>
            <w:vAlign w:val="center"/>
            <w:hideMark/>
          </w:tcPr>
          <w:p w14:paraId="3D0309A5" w14:textId="77777777" w:rsidR="00293F62" w:rsidRPr="009548E1" w:rsidRDefault="00293F62" w:rsidP="005C7D38">
            <w:pPr>
              <w:rPr>
                <w:sz w:val="16"/>
                <w:szCs w:val="16"/>
              </w:rPr>
            </w:pPr>
            <w:r w:rsidRPr="009548E1">
              <w:rPr>
                <w:sz w:val="16"/>
                <w:szCs w:val="16"/>
              </w:rPr>
              <w:t>Obveznice - Serija 37 D-32, 327E</w:t>
            </w:r>
          </w:p>
        </w:tc>
        <w:tc>
          <w:tcPr>
            <w:tcW w:w="1275" w:type="dxa"/>
            <w:tcBorders>
              <w:top w:val="single" w:sz="4" w:space="0" w:color="auto"/>
              <w:left w:val="nil"/>
              <w:bottom w:val="nil"/>
              <w:right w:val="single" w:sz="4" w:space="0" w:color="auto"/>
            </w:tcBorders>
            <w:shd w:val="clear" w:color="auto" w:fill="auto"/>
            <w:noWrap/>
            <w:vAlign w:val="center"/>
            <w:hideMark/>
          </w:tcPr>
          <w:p w14:paraId="3895E286" w14:textId="77777777" w:rsidR="00293F62" w:rsidRPr="009548E1" w:rsidRDefault="00293F62" w:rsidP="005C7D38">
            <w:pPr>
              <w:jc w:val="center"/>
              <w:rPr>
                <w:sz w:val="16"/>
                <w:szCs w:val="16"/>
              </w:rPr>
            </w:pPr>
            <w:r w:rsidRPr="009548E1">
              <w:rPr>
                <w:sz w:val="16"/>
                <w:szCs w:val="16"/>
              </w:rPr>
              <w:t>EUR</w:t>
            </w:r>
          </w:p>
        </w:tc>
        <w:tc>
          <w:tcPr>
            <w:tcW w:w="2127" w:type="dxa"/>
            <w:tcBorders>
              <w:top w:val="nil"/>
              <w:left w:val="nil"/>
              <w:bottom w:val="single" w:sz="4" w:space="0" w:color="auto"/>
              <w:right w:val="single" w:sz="4" w:space="0" w:color="auto"/>
            </w:tcBorders>
            <w:shd w:val="clear" w:color="auto" w:fill="auto"/>
            <w:noWrap/>
            <w:vAlign w:val="center"/>
            <w:hideMark/>
          </w:tcPr>
          <w:p w14:paraId="691FF183" w14:textId="77777777" w:rsidR="00293F62" w:rsidRPr="009548E1" w:rsidRDefault="00293F62" w:rsidP="005C7D38">
            <w:pPr>
              <w:jc w:val="right"/>
              <w:rPr>
                <w:sz w:val="16"/>
                <w:szCs w:val="16"/>
              </w:rPr>
            </w:pPr>
            <w:r w:rsidRPr="009548E1">
              <w:rPr>
                <w:sz w:val="16"/>
                <w:szCs w:val="16"/>
              </w:rPr>
              <w:t>800.000.000,00</w:t>
            </w:r>
          </w:p>
        </w:tc>
      </w:tr>
      <w:tr w:rsidR="00293F62" w:rsidRPr="009548E1" w14:paraId="46167DD1"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0F71DE" w14:textId="77777777" w:rsidR="00293F62" w:rsidRPr="009548E1" w:rsidRDefault="00293F62" w:rsidP="005C7D38">
            <w:pPr>
              <w:jc w:val="center"/>
              <w:rPr>
                <w:sz w:val="16"/>
                <w:szCs w:val="16"/>
              </w:rPr>
            </w:pPr>
            <w:r w:rsidRPr="009548E1">
              <w:rPr>
                <w:sz w:val="16"/>
                <w:szCs w:val="16"/>
              </w:rPr>
              <w:t>17.</w:t>
            </w:r>
          </w:p>
        </w:tc>
        <w:tc>
          <w:tcPr>
            <w:tcW w:w="3430" w:type="dxa"/>
            <w:tcBorders>
              <w:top w:val="nil"/>
              <w:left w:val="nil"/>
              <w:bottom w:val="single" w:sz="4" w:space="0" w:color="auto"/>
              <w:right w:val="single" w:sz="4" w:space="0" w:color="auto"/>
            </w:tcBorders>
            <w:shd w:val="clear" w:color="auto" w:fill="auto"/>
            <w:noWrap/>
            <w:vAlign w:val="center"/>
            <w:hideMark/>
          </w:tcPr>
          <w:p w14:paraId="37901FF3" w14:textId="77777777" w:rsidR="00293F62" w:rsidRPr="009548E1" w:rsidRDefault="00293F62" w:rsidP="005C7D38">
            <w:pPr>
              <w:rPr>
                <w:sz w:val="16"/>
                <w:szCs w:val="16"/>
              </w:rPr>
            </w:pPr>
            <w:r w:rsidRPr="009548E1">
              <w:rPr>
                <w:sz w:val="16"/>
                <w:szCs w:val="16"/>
              </w:rPr>
              <w:t>Obveznice - Serija 38 D-25, 253B</w:t>
            </w:r>
          </w:p>
        </w:tc>
        <w:tc>
          <w:tcPr>
            <w:tcW w:w="1275" w:type="dxa"/>
            <w:tcBorders>
              <w:top w:val="single" w:sz="4" w:space="0" w:color="auto"/>
              <w:left w:val="nil"/>
              <w:bottom w:val="nil"/>
              <w:right w:val="single" w:sz="4" w:space="0" w:color="auto"/>
            </w:tcBorders>
            <w:shd w:val="clear" w:color="auto" w:fill="auto"/>
            <w:noWrap/>
            <w:vAlign w:val="center"/>
            <w:hideMark/>
          </w:tcPr>
          <w:p w14:paraId="2F268000" w14:textId="77777777" w:rsidR="00293F62" w:rsidRPr="009548E1" w:rsidRDefault="00293F62" w:rsidP="005C7D38">
            <w:pPr>
              <w:jc w:val="center"/>
              <w:rPr>
                <w:sz w:val="16"/>
                <w:szCs w:val="16"/>
              </w:rPr>
            </w:pPr>
            <w:r w:rsidRPr="009548E1">
              <w:rPr>
                <w:sz w:val="16"/>
                <w:szCs w:val="16"/>
              </w:rPr>
              <w:t>EUR</w:t>
            </w:r>
          </w:p>
        </w:tc>
        <w:tc>
          <w:tcPr>
            <w:tcW w:w="2127" w:type="dxa"/>
            <w:tcBorders>
              <w:top w:val="nil"/>
              <w:left w:val="nil"/>
              <w:bottom w:val="single" w:sz="4" w:space="0" w:color="auto"/>
              <w:right w:val="single" w:sz="4" w:space="0" w:color="auto"/>
            </w:tcBorders>
            <w:shd w:val="clear" w:color="auto" w:fill="auto"/>
            <w:noWrap/>
            <w:vAlign w:val="center"/>
            <w:hideMark/>
          </w:tcPr>
          <w:p w14:paraId="730947DA" w14:textId="77777777" w:rsidR="00293F62" w:rsidRPr="009548E1" w:rsidRDefault="00293F62" w:rsidP="005C7D38">
            <w:pPr>
              <w:jc w:val="right"/>
              <w:rPr>
                <w:sz w:val="16"/>
                <w:szCs w:val="16"/>
              </w:rPr>
            </w:pPr>
            <w:r w:rsidRPr="009548E1">
              <w:rPr>
                <w:sz w:val="16"/>
                <w:szCs w:val="16"/>
              </w:rPr>
              <w:t>1.850.000.000,00</w:t>
            </w:r>
          </w:p>
        </w:tc>
      </w:tr>
      <w:tr w:rsidR="00293F62" w:rsidRPr="009548E1" w14:paraId="2B3EE7C8" w14:textId="77777777" w:rsidTr="005C7D3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E58C12" w14:textId="77777777" w:rsidR="00293F62" w:rsidRPr="009548E1" w:rsidRDefault="00293F62" w:rsidP="005C7D38">
            <w:pPr>
              <w:jc w:val="center"/>
              <w:rPr>
                <w:sz w:val="16"/>
                <w:szCs w:val="16"/>
              </w:rPr>
            </w:pPr>
            <w:r w:rsidRPr="009548E1">
              <w:rPr>
                <w:sz w:val="16"/>
                <w:szCs w:val="16"/>
              </w:rPr>
              <w:t>18.</w:t>
            </w:r>
          </w:p>
        </w:tc>
        <w:tc>
          <w:tcPr>
            <w:tcW w:w="3430" w:type="dxa"/>
            <w:tcBorders>
              <w:top w:val="nil"/>
              <w:left w:val="nil"/>
              <w:bottom w:val="single" w:sz="4" w:space="0" w:color="auto"/>
              <w:right w:val="single" w:sz="4" w:space="0" w:color="auto"/>
            </w:tcBorders>
            <w:shd w:val="clear" w:color="auto" w:fill="auto"/>
            <w:noWrap/>
            <w:vAlign w:val="center"/>
            <w:hideMark/>
          </w:tcPr>
          <w:p w14:paraId="6C3B83E0" w14:textId="77777777" w:rsidR="00293F62" w:rsidRPr="009548E1" w:rsidRDefault="00293F62" w:rsidP="005C7D38">
            <w:pPr>
              <w:rPr>
                <w:sz w:val="16"/>
                <w:szCs w:val="16"/>
              </w:rPr>
            </w:pPr>
            <w:r w:rsidRPr="009548E1">
              <w:rPr>
                <w:sz w:val="16"/>
                <w:szCs w:val="16"/>
              </w:rPr>
              <w:t>Obveznice - Serija 39 D-33, 33BA</w:t>
            </w:r>
          </w:p>
        </w:tc>
        <w:tc>
          <w:tcPr>
            <w:tcW w:w="1275" w:type="dxa"/>
            <w:tcBorders>
              <w:top w:val="single" w:sz="4" w:space="0" w:color="auto"/>
              <w:left w:val="nil"/>
              <w:bottom w:val="nil"/>
              <w:right w:val="single" w:sz="4" w:space="0" w:color="auto"/>
            </w:tcBorders>
            <w:shd w:val="clear" w:color="auto" w:fill="auto"/>
            <w:noWrap/>
            <w:vAlign w:val="center"/>
            <w:hideMark/>
          </w:tcPr>
          <w:p w14:paraId="423F1373" w14:textId="77777777" w:rsidR="00293F62" w:rsidRPr="009548E1" w:rsidRDefault="00293F62" w:rsidP="005C7D38">
            <w:pPr>
              <w:jc w:val="center"/>
              <w:rPr>
                <w:sz w:val="16"/>
                <w:szCs w:val="16"/>
              </w:rPr>
            </w:pPr>
            <w:r w:rsidRPr="009548E1">
              <w:rPr>
                <w:sz w:val="16"/>
                <w:szCs w:val="16"/>
              </w:rPr>
              <w:t>EUR</w:t>
            </w:r>
          </w:p>
        </w:tc>
        <w:tc>
          <w:tcPr>
            <w:tcW w:w="2127" w:type="dxa"/>
            <w:tcBorders>
              <w:top w:val="nil"/>
              <w:left w:val="nil"/>
              <w:bottom w:val="single" w:sz="4" w:space="0" w:color="auto"/>
              <w:right w:val="single" w:sz="4" w:space="0" w:color="auto"/>
            </w:tcBorders>
            <w:shd w:val="clear" w:color="auto" w:fill="auto"/>
            <w:noWrap/>
            <w:vAlign w:val="center"/>
            <w:hideMark/>
          </w:tcPr>
          <w:p w14:paraId="08D9EBFC" w14:textId="77777777" w:rsidR="00293F62" w:rsidRPr="009548E1" w:rsidRDefault="00293F62" w:rsidP="005C7D38">
            <w:pPr>
              <w:jc w:val="right"/>
              <w:rPr>
                <w:sz w:val="16"/>
                <w:szCs w:val="16"/>
              </w:rPr>
            </w:pPr>
            <w:r w:rsidRPr="009548E1">
              <w:rPr>
                <w:sz w:val="16"/>
                <w:szCs w:val="16"/>
              </w:rPr>
              <w:t>1.250.000.000,00</w:t>
            </w:r>
          </w:p>
        </w:tc>
      </w:tr>
      <w:tr w:rsidR="00293F62" w:rsidRPr="009548E1" w14:paraId="10747164" w14:textId="77777777" w:rsidTr="005C7D38">
        <w:trPr>
          <w:trHeight w:val="330"/>
          <w:jc w:val="center"/>
        </w:trPr>
        <w:tc>
          <w:tcPr>
            <w:tcW w:w="96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274EB734" w14:textId="77777777" w:rsidR="00293F62" w:rsidRPr="009548E1" w:rsidRDefault="00293F62" w:rsidP="005C7D38">
            <w:pPr>
              <w:jc w:val="center"/>
              <w:rPr>
                <w:sz w:val="16"/>
                <w:szCs w:val="16"/>
              </w:rPr>
            </w:pPr>
            <w:r w:rsidRPr="009548E1">
              <w:rPr>
                <w:sz w:val="16"/>
                <w:szCs w:val="16"/>
              </w:rPr>
              <w:t> </w:t>
            </w:r>
          </w:p>
        </w:tc>
        <w:tc>
          <w:tcPr>
            <w:tcW w:w="3430" w:type="dxa"/>
            <w:tcBorders>
              <w:top w:val="double" w:sz="6" w:space="0" w:color="auto"/>
              <w:left w:val="nil"/>
              <w:bottom w:val="double" w:sz="6" w:space="0" w:color="auto"/>
              <w:right w:val="double" w:sz="6" w:space="0" w:color="auto"/>
            </w:tcBorders>
            <w:shd w:val="clear" w:color="auto" w:fill="auto"/>
            <w:noWrap/>
            <w:vAlign w:val="center"/>
            <w:hideMark/>
          </w:tcPr>
          <w:p w14:paraId="11D70DAD" w14:textId="77777777" w:rsidR="00293F62" w:rsidRPr="009548E1" w:rsidRDefault="00293F62" w:rsidP="005C7D38">
            <w:pPr>
              <w:rPr>
                <w:b/>
                <w:bCs/>
                <w:sz w:val="16"/>
                <w:szCs w:val="16"/>
              </w:rPr>
            </w:pPr>
            <w:r w:rsidRPr="009548E1">
              <w:rPr>
                <w:b/>
                <w:bCs/>
                <w:sz w:val="16"/>
                <w:szCs w:val="16"/>
              </w:rPr>
              <w:t>Ukupno:</w:t>
            </w:r>
          </w:p>
        </w:tc>
        <w:tc>
          <w:tcPr>
            <w:tcW w:w="1275" w:type="dxa"/>
            <w:tcBorders>
              <w:top w:val="double" w:sz="6" w:space="0" w:color="auto"/>
              <w:left w:val="nil"/>
              <w:bottom w:val="double" w:sz="6" w:space="0" w:color="auto"/>
              <w:right w:val="double" w:sz="6" w:space="0" w:color="auto"/>
            </w:tcBorders>
            <w:shd w:val="clear" w:color="auto" w:fill="auto"/>
            <w:noWrap/>
            <w:vAlign w:val="center"/>
            <w:hideMark/>
          </w:tcPr>
          <w:p w14:paraId="023459C7" w14:textId="77777777" w:rsidR="00293F62" w:rsidRPr="009548E1" w:rsidRDefault="00293F62" w:rsidP="005C7D38">
            <w:pPr>
              <w:jc w:val="center"/>
              <w:rPr>
                <w:b/>
                <w:bCs/>
                <w:sz w:val="16"/>
                <w:szCs w:val="16"/>
              </w:rPr>
            </w:pPr>
            <w:r w:rsidRPr="009548E1">
              <w:rPr>
                <w:b/>
                <w:bCs/>
                <w:sz w:val="16"/>
                <w:szCs w:val="16"/>
              </w:rPr>
              <w:t>EUR</w:t>
            </w:r>
          </w:p>
        </w:tc>
        <w:tc>
          <w:tcPr>
            <w:tcW w:w="2127" w:type="dxa"/>
            <w:tcBorders>
              <w:top w:val="double" w:sz="6" w:space="0" w:color="auto"/>
              <w:left w:val="nil"/>
              <w:bottom w:val="double" w:sz="6" w:space="0" w:color="auto"/>
              <w:right w:val="double" w:sz="6" w:space="0" w:color="auto"/>
            </w:tcBorders>
            <w:shd w:val="clear" w:color="auto" w:fill="auto"/>
            <w:noWrap/>
            <w:vAlign w:val="center"/>
            <w:hideMark/>
          </w:tcPr>
          <w:p w14:paraId="2D64D60D" w14:textId="77777777" w:rsidR="00293F62" w:rsidRPr="009548E1" w:rsidRDefault="00293F62" w:rsidP="005C7D38">
            <w:pPr>
              <w:jc w:val="right"/>
              <w:rPr>
                <w:b/>
                <w:bCs/>
                <w:sz w:val="16"/>
                <w:szCs w:val="16"/>
              </w:rPr>
            </w:pPr>
            <w:r w:rsidRPr="009548E1">
              <w:rPr>
                <w:b/>
                <w:bCs/>
                <w:sz w:val="16"/>
                <w:szCs w:val="16"/>
              </w:rPr>
              <w:t>18.071.038.402,87</w:t>
            </w:r>
          </w:p>
        </w:tc>
      </w:tr>
    </w:tbl>
    <w:p w14:paraId="5E2ECA70" w14:textId="77777777" w:rsidR="00293F62" w:rsidRPr="009548E1" w:rsidRDefault="00293F62" w:rsidP="00293F62">
      <w:pPr>
        <w:keepNext/>
        <w:jc w:val="both"/>
        <w:rPr>
          <w:b/>
          <w:sz w:val="18"/>
          <w:szCs w:val="18"/>
        </w:rPr>
      </w:pPr>
    </w:p>
    <w:p w14:paraId="441924F8" w14:textId="77777777" w:rsidR="00293F62" w:rsidRPr="009548E1" w:rsidRDefault="00293F62" w:rsidP="00293F62">
      <w:pPr>
        <w:jc w:val="both"/>
      </w:pPr>
    </w:p>
    <w:p w14:paraId="13AC28B8" w14:textId="77777777" w:rsidR="00293F62" w:rsidRPr="009548E1" w:rsidRDefault="00293F62" w:rsidP="00293F62">
      <w:pPr>
        <w:spacing w:after="120"/>
        <w:jc w:val="both"/>
        <w:rPr>
          <w:rFonts w:eastAsia="Calibri"/>
        </w:rPr>
      </w:pPr>
      <w:r w:rsidRPr="009548E1">
        <w:rPr>
          <w:rFonts w:eastAsia="Calibri"/>
        </w:rPr>
        <w:t xml:space="preserve">Republika Hrvatska, zastupana po Ministarstvu financija, realizirala je na domaćem tržištu kapitala inauguralno izdanje obveznica dospijeća 2025. godine u nominalnom iznosu od 1,85 milijardi eura namijenjenih, osim institucionalnim </w:t>
      </w:r>
      <w:proofErr w:type="spellStart"/>
      <w:r w:rsidRPr="009548E1">
        <w:rPr>
          <w:rFonts w:eastAsia="Calibri"/>
        </w:rPr>
        <w:t>ulagateljima</w:t>
      </w:r>
      <w:proofErr w:type="spellEnd"/>
      <w:r w:rsidRPr="009548E1">
        <w:rPr>
          <w:rFonts w:eastAsia="Calibri"/>
        </w:rPr>
        <w:t xml:space="preserve">, i fizičkim osobama. </w:t>
      </w:r>
    </w:p>
    <w:p w14:paraId="4EA2E087" w14:textId="77777777" w:rsidR="00293F62" w:rsidRPr="009548E1" w:rsidRDefault="00293F62" w:rsidP="00293F62">
      <w:pPr>
        <w:spacing w:after="120"/>
        <w:jc w:val="both"/>
        <w:rPr>
          <w:rFonts w:eastAsia="Calibri"/>
        </w:rPr>
      </w:pPr>
      <w:r w:rsidRPr="009548E1">
        <w:rPr>
          <w:rFonts w:eastAsia="Calibri"/>
        </w:rPr>
        <w:t xml:space="preserve">Upis obveznica provodio se u dva kruga pri čemu je prvi krug bio namijenjen za fizičke osobe (hrvatski državljani te strani državljani rezidenti u Republici Hrvatskoj), dok je drugi krug bio predviđen za institucionalne investitore. Novo izdanje Obveznica realizirano je uz cijenu od 100,000% i godišnju kamatnu stopu od 3,65%. </w:t>
      </w:r>
    </w:p>
    <w:p w14:paraId="598C7209" w14:textId="77777777" w:rsidR="00293F62" w:rsidRPr="009548E1" w:rsidRDefault="00293F62" w:rsidP="00293F62">
      <w:pPr>
        <w:spacing w:after="120"/>
        <w:jc w:val="both"/>
        <w:rPr>
          <w:rFonts w:eastAsia="Calibri"/>
        </w:rPr>
      </w:pPr>
      <w:r w:rsidRPr="009548E1">
        <w:rPr>
          <w:rFonts w:eastAsia="Calibri"/>
        </w:rPr>
        <w:t xml:space="preserve">Obveznice su uvrštene u usluge </w:t>
      </w:r>
      <w:proofErr w:type="spellStart"/>
      <w:r w:rsidRPr="009548E1">
        <w:rPr>
          <w:rFonts w:eastAsia="Calibri"/>
        </w:rPr>
        <w:t>depozitorija</w:t>
      </w:r>
      <w:proofErr w:type="spellEnd"/>
      <w:r w:rsidRPr="009548E1">
        <w:rPr>
          <w:rFonts w:eastAsia="Calibri"/>
        </w:rPr>
        <w:t>, poravnanja i namire Središnjeg klirinškog depozitarnog društva d.d. te na Službeno tržište Zagrebačke burze.</w:t>
      </w:r>
    </w:p>
    <w:p w14:paraId="7BFF98AF" w14:textId="77777777" w:rsidR="00293F62" w:rsidRPr="009548E1" w:rsidRDefault="00293F62" w:rsidP="00293F62">
      <w:pPr>
        <w:jc w:val="both"/>
      </w:pPr>
      <w:r w:rsidRPr="009548E1">
        <w:t xml:space="preserve">Sredstva prikupljena ovim izdanjem iskorištena su, između ostalog, za refinanciranje </w:t>
      </w:r>
      <w:proofErr w:type="spellStart"/>
      <w:r w:rsidRPr="009548E1">
        <w:t>euroobveznica</w:t>
      </w:r>
      <w:proofErr w:type="spellEnd"/>
      <w:r w:rsidRPr="009548E1">
        <w:t xml:space="preserve"> Republike Hrvatske nominalnog iznosa 1,5 milijardi dolara koje su dospjele i isplaćene u travnju 2023. godine. Ove obveznice su izdane 2013. godine.</w:t>
      </w:r>
    </w:p>
    <w:p w14:paraId="1791747A" w14:textId="77777777" w:rsidR="00293F62" w:rsidRPr="009548E1" w:rsidRDefault="00293F62" w:rsidP="00293F62">
      <w:pPr>
        <w:jc w:val="both"/>
      </w:pPr>
    </w:p>
    <w:p w14:paraId="422E2C62" w14:textId="77777777" w:rsidR="00293F62" w:rsidRPr="009548E1" w:rsidRDefault="00293F62" w:rsidP="00293F62">
      <w:pPr>
        <w:spacing w:after="200"/>
        <w:jc w:val="both"/>
      </w:pPr>
      <w:r w:rsidRPr="009548E1">
        <w:t>U studenom 2023. godine uspješno je realizirano još jedno izdanje obveznica na domaćem tržištu kapitala. Riječ je o obveznici dospijeća 2033. godine u nominalnom iznosu od 1,25 milijardi eura. Navedeno izdanje obveznice realizirano je uz cijenu od 99,505% i godišnju kamatnu stopu od 3,75%. Sredstva prikupljena ovim izdanjem iskorištena su za refinanciranje domaće obveznice Republike Hrvatske nominalnog iznosa 1,5 milijardi eura (integralno izdanje), koje su dospjele i isplaćene u studenom 2023. godine.</w:t>
      </w:r>
    </w:p>
    <w:p w14:paraId="0069910F" w14:textId="77777777" w:rsidR="00293F62" w:rsidRPr="009548E1" w:rsidRDefault="00293F62" w:rsidP="00293F62">
      <w:pPr>
        <w:jc w:val="both"/>
      </w:pPr>
    </w:p>
    <w:p w14:paraId="6CEE9DAD" w14:textId="77777777" w:rsidR="00293F62" w:rsidRPr="009548E1" w:rsidRDefault="00293F62" w:rsidP="00293F62">
      <w:pPr>
        <w:keepNext/>
        <w:jc w:val="center"/>
      </w:pPr>
      <w:r>
        <w:rPr>
          <w:sz w:val="28"/>
        </w:rPr>
        <w:t>Bilješka 22</w:t>
      </w:r>
      <w:r w:rsidRPr="009548E1">
        <w:rPr>
          <w:sz w:val="28"/>
        </w:rPr>
        <w:t>.</w:t>
      </w:r>
    </w:p>
    <w:p w14:paraId="1923DCA7" w14:textId="77777777" w:rsidR="00293F62" w:rsidRPr="009548E1" w:rsidRDefault="00293F62" w:rsidP="00293F62">
      <w:pPr>
        <w:keepNext/>
        <w:spacing w:after="240"/>
        <w:jc w:val="center"/>
      </w:pPr>
      <w:r w:rsidRPr="009548E1">
        <w:rPr>
          <w:sz w:val="28"/>
        </w:rPr>
        <w:t>Šifra 2532 Obveze za mjenice</w:t>
      </w:r>
    </w:p>
    <w:p w14:paraId="0FD4BCA0" w14:textId="77777777" w:rsidR="00293F62" w:rsidRPr="009548E1" w:rsidRDefault="00293F62" w:rsidP="00293F62">
      <w:pPr>
        <w:keepNext/>
        <w:jc w:val="both"/>
      </w:pPr>
      <w:r w:rsidRPr="009548E1">
        <w:t>Stanje obveza za mjenice na dan 31. prosinca 2023. godine u iznosu od 581.183,83 eura odnosi se na obveze po izdanim mjenicama za članski kapital Republike Hrvatske IDA i MIGA.  Analitika obvez</w:t>
      </w:r>
      <w:r>
        <w:t>a za mjenice dana je u Tablici 8</w:t>
      </w:r>
      <w:r w:rsidRPr="009548E1">
        <w:t>.</w:t>
      </w:r>
    </w:p>
    <w:p w14:paraId="6F550450" w14:textId="77777777" w:rsidR="00293F62" w:rsidRPr="009548E1" w:rsidRDefault="00293F62" w:rsidP="00293F62">
      <w:pPr>
        <w:jc w:val="both"/>
      </w:pPr>
    </w:p>
    <w:p w14:paraId="2B936820" w14:textId="77777777" w:rsidR="00293F62" w:rsidRPr="009548E1" w:rsidRDefault="00293F62" w:rsidP="00293F62">
      <w:pPr>
        <w:keepNext/>
        <w:jc w:val="both"/>
        <w:rPr>
          <w:b/>
          <w:sz w:val="20"/>
          <w:szCs w:val="20"/>
        </w:rPr>
      </w:pPr>
      <w:r>
        <w:rPr>
          <w:b/>
          <w:sz w:val="20"/>
          <w:szCs w:val="20"/>
        </w:rPr>
        <w:t>Tablica 8</w:t>
      </w:r>
      <w:r w:rsidRPr="009548E1">
        <w:rPr>
          <w:b/>
          <w:sz w:val="20"/>
          <w:szCs w:val="20"/>
        </w:rPr>
        <w:t>.</w:t>
      </w:r>
      <w:r>
        <w:rPr>
          <w:b/>
          <w:sz w:val="20"/>
          <w:szCs w:val="20"/>
        </w:rPr>
        <w:t xml:space="preserve"> Pregled obveza po izdanim mjenicama</w:t>
      </w:r>
    </w:p>
    <w:tbl>
      <w:tblPr>
        <w:tblW w:w="7650" w:type="dxa"/>
        <w:jc w:val="center"/>
        <w:tblLook w:val="04A0" w:firstRow="1" w:lastRow="0" w:firstColumn="1" w:lastColumn="0" w:noHBand="0" w:noVBand="1"/>
      </w:tblPr>
      <w:tblGrid>
        <w:gridCol w:w="960"/>
        <w:gridCol w:w="1020"/>
        <w:gridCol w:w="1417"/>
        <w:gridCol w:w="1418"/>
        <w:gridCol w:w="2835"/>
      </w:tblGrid>
      <w:tr w:rsidR="00293F62" w:rsidRPr="009548E1" w14:paraId="621707F2" w14:textId="77777777" w:rsidTr="005C7D38">
        <w:trPr>
          <w:trHeight w:val="8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E5F3A" w14:textId="77777777" w:rsidR="00293F62" w:rsidRPr="009548E1" w:rsidRDefault="00293F62" w:rsidP="005C7D38">
            <w:pPr>
              <w:jc w:val="center"/>
              <w:rPr>
                <w:b/>
                <w:bCs/>
                <w:sz w:val="20"/>
                <w:szCs w:val="20"/>
              </w:rPr>
            </w:pPr>
            <w:r w:rsidRPr="009548E1">
              <w:rPr>
                <w:b/>
                <w:bCs/>
                <w:sz w:val="20"/>
                <w:szCs w:val="20"/>
              </w:rPr>
              <w:t>Red. broj</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F68187A" w14:textId="77777777" w:rsidR="00293F62" w:rsidRPr="009548E1" w:rsidRDefault="00293F62" w:rsidP="005C7D38">
            <w:pPr>
              <w:jc w:val="center"/>
              <w:rPr>
                <w:b/>
                <w:bCs/>
                <w:sz w:val="20"/>
                <w:szCs w:val="20"/>
              </w:rPr>
            </w:pPr>
            <w:r w:rsidRPr="009548E1">
              <w:rPr>
                <w:b/>
                <w:bCs/>
                <w:sz w:val="20"/>
                <w:szCs w:val="20"/>
              </w:rPr>
              <w:t>Naziv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77FC315" w14:textId="77777777" w:rsidR="00293F62" w:rsidRPr="009548E1" w:rsidRDefault="00293F62" w:rsidP="005C7D38">
            <w:pPr>
              <w:jc w:val="center"/>
              <w:rPr>
                <w:b/>
                <w:bCs/>
                <w:sz w:val="20"/>
                <w:szCs w:val="20"/>
              </w:rPr>
            </w:pPr>
            <w:r w:rsidRPr="009548E1">
              <w:rPr>
                <w:b/>
                <w:bCs/>
                <w:sz w:val="20"/>
                <w:szCs w:val="20"/>
              </w:rPr>
              <w:t>Valuta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B6BD067" w14:textId="77777777" w:rsidR="00293F62" w:rsidRPr="009548E1" w:rsidRDefault="00293F62" w:rsidP="005C7D38">
            <w:pPr>
              <w:jc w:val="center"/>
              <w:rPr>
                <w:b/>
                <w:bCs/>
                <w:sz w:val="20"/>
                <w:szCs w:val="20"/>
              </w:rPr>
            </w:pPr>
            <w:r w:rsidRPr="009548E1">
              <w:rPr>
                <w:b/>
                <w:bCs/>
                <w:sz w:val="20"/>
                <w:szCs w:val="20"/>
              </w:rPr>
              <w:t>Stanje obveza na dan 31.12.2023.  (</w:t>
            </w:r>
            <w:proofErr w:type="spellStart"/>
            <w:r w:rsidRPr="009548E1">
              <w:rPr>
                <w:b/>
                <w:bCs/>
                <w:sz w:val="20"/>
                <w:szCs w:val="20"/>
              </w:rPr>
              <w:t>org.val</w:t>
            </w:r>
            <w:proofErr w:type="spellEnd"/>
            <w:r w:rsidRPr="009548E1">
              <w:rPr>
                <w:b/>
                <w:bCs/>
                <w:sz w:val="20"/>
                <w:szCs w:val="20"/>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226B5BE" w14:textId="77777777" w:rsidR="00293F62" w:rsidRPr="009548E1" w:rsidRDefault="00293F62" w:rsidP="005C7D38">
            <w:pPr>
              <w:jc w:val="center"/>
              <w:rPr>
                <w:b/>
                <w:bCs/>
                <w:sz w:val="20"/>
                <w:szCs w:val="20"/>
              </w:rPr>
            </w:pPr>
            <w:r w:rsidRPr="009548E1">
              <w:rPr>
                <w:b/>
                <w:bCs/>
                <w:sz w:val="20"/>
                <w:szCs w:val="20"/>
              </w:rPr>
              <w:t>Stanje  obveza na 31.12.2023. u eurima</w:t>
            </w:r>
          </w:p>
        </w:tc>
      </w:tr>
      <w:tr w:rsidR="00293F62" w:rsidRPr="009548E1" w14:paraId="7C253045"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98CB86" w14:textId="77777777" w:rsidR="00293F62" w:rsidRPr="009548E1" w:rsidRDefault="00293F62" w:rsidP="005C7D38">
            <w:pPr>
              <w:jc w:val="center"/>
              <w:rPr>
                <w:sz w:val="16"/>
                <w:szCs w:val="16"/>
              </w:rPr>
            </w:pPr>
            <w:r w:rsidRPr="009548E1">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14:paraId="08C489C8" w14:textId="77777777" w:rsidR="00293F62" w:rsidRPr="009548E1" w:rsidRDefault="00293F62" w:rsidP="005C7D38">
            <w:pPr>
              <w:rPr>
                <w:sz w:val="16"/>
                <w:szCs w:val="16"/>
              </w:rPr>
            </w:pPr>
            <w:r w:rsidRPr="009548E1">
              <w:rPr>
                <w:sz w:val="16"/>
                <w:szCs w:val="16"/>
              </w:rPr>
              <w:t>IDA</w:t>
            </w:r>
          </w:p>
        </w:tc>
        <w:tc>
          <w:tcPr>
            <w:tcW w:w="1417" w:type="dxa"/>
            <w:tcBorders>
              <w:top w:val="nil"/>
              <w:left w:val="nil"/>
              <w:bottom w:val="single" w:sz="4" w:space="0" w:color="auto"/>
              <w:right w:val="single" w:sz="4" w:space="0" w:color="auto"/>
            </w:tcBorders>
            <w:shd w:val="clear" w:color="auto" w:fill="auto"/>
            <w:vAlign w:val="center"/>
            <w:hideMark/>
          </w:tcPr>
          <w:p w14:paraId="76E676AC" w14:textId="77777777" w:rsidR="00293F62" w:rsidRPr="009548E1" w:rsidRDefault="00293F62" w:rsidP="005C7D38">
            <w:pPr>
              <w:jc w:val="center"/>
              <w:rPr>
                <w:sz w:val="16"/>
                <w:szCs w:val="16"/>
              </w:rPr>
            </w:pPr>
            <w:r w:rsidRPr="009548E1">
              <w:rPr>
                <w:sz w:val="16"/>
                <w:szCs w:val="16"/>
              </w:rPr>
              <w:t>HRK</w:t>
            </w:r>
          </w:p>
        </w:tc>
        <w:tc>
          <w:tcPr>
            <w:tcW w:w="1418" w:type="dxa"/>
            <w:tcBorders>
              <w:top w:val="nil"/>
              <w:left w:val="nil"/>
              <w:bottom w:val="single" w:sz="4" w:space="0" w:color="auto"/>
              <w:right w:val="single" w:sz="4" w:space="0" w:color="auto"/>
            </w:tcBorders>
            <w:shd w:val="clear" w:color="auto" w:fill="auto"/>
            <w:vAlign w:val="center"/>
            <w:hideMark/>
          </w:tcPr>
          <w:p w14:paraId="0263AD75" w14:textId="77777777" w:rsidR="00293F62" w:rsidRPr="009548E1" w:rsidRDefault="00293F62" w:rsidP="005C7D38">
            <w:pPr>
              <w:jc w:val="right"/>
              <w:rPr>
                <w:sz w:val="16"/>
                <w:szCs w:val="16"/>
              </w:rPr>
            </w:pPr>
            <w:r w:rsidRPr="009548E1">
              <w:rPr>
                <w:sz w:val="16"/>
                <w:szCs w:val="16"/>
              </w:rPr>
              <w:t>2.999.304,65</w:t>
            </w:r>
          </w:p>
        </w:tc>
        <w:tc>
          <w:tcPr>
            <w:tcW w:w="2835" w:type="dxa"/>
            <w:tcBorders>
              <w:top w:val="nil"/>
              <w:left w:val="nil"/>
              <w:bottom w:val="single" w:sz="4" w:space="0" w:color="auto"/>
              <w:right w:val="single" w:sz="4" w:space="0" w:color="auto"/>
            </w:tcBorders>
            <w:shd w:val="clear" w:color="auto" w:fill="auto"/>
            <w:vAlign w:val="center"/>
            <w:hideMark/>
          </w:tcPr>
          <w:p w14:paraId="4502167A" w14:textId="77777777" w:rsidR="00293F62" w:rsidRPr="009548E1" w:rsidRDefault="00293F62" w:rsidP="005C7D38">
            <w:pPr>
              <w:jc w:val="right"/>
              <w:rPr>
                <w:sz w:val="16"/>
                <w:szCs w:val="16"/>
              </w:rPr>
            </w:pPr>
            <w:r w:rsidRPr="009548E1">
              <w:rPr>
                <w:sz w:val="16"/>
                <w:szCs w:val="16"/>
              </w:rPr>
              <w:t>398.076,14</w:t>
            </w:r>
          </w:p>
        </w:tc>
      </w:tr>
      <w:tr w:rsidR="00293F62" w:rsidRPr="009548E1" w14:paraId="07F119BD" w14:textId="77777777" w:rsidTr="005C7D3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B9B1C4" w14:textId="77777777" w:rsidR="00293F62" w:rsidRPr="009548E1" w:rsidRDefault="00293F62" w:rsidP="005C7D38">
            <w:pPr>
              <w:jc w:val="center"/>
              <w:rPr>
                <w:sz w:val="16"/>
                <w:szCs w:val="16"/>
              </w:rPr>
            </w:pPr>
            <w:r w:rsidRPr="009548E1">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14:paraId="23E578DB" w14:textId="77777777" w:rsidR="00293F62" w:rsidRPr="009548E1" w:rsidRDefault="00293F62" w:rsidP="005C7D38">
            <w:pPr>
              <w:rPr>
                <w:sz w:val="16"/>
                <w:szCs w:val="16"/>
              </w:rPr>
            </w:pPr>
            <w:r w:rsidRPr="009548E1">
              <w:rPr>
                <w:sz w:val="16"/>
                <w:szCs w:val="16"/>
              </w:rPr>
              <w:t>MIGA</w:t>
            </w:r>
          </w:p>
        </w:tc>
        <w:tc>
          <w:tcPr>
            <w:tcW w:w="1417" w:type="dxa"/>
            <w:tcBorders>
              <w:top w:val="nil"/>
              <w:left w:val="nil"/>
              <w:bottom w:val="single" w:sz="4" w:space="0" w:color="auto"/>
              <w:right w:val="single" w:sz="4" w:space="0" w:color="auto"/>
            </w:tcBorders>
            <w:shd w:val="clear" w:color="auto" w:fill="auto"/>
            <w:noWrap/>
            <w:vAlign w:val="center"/>
            <w:hideMark/>
          </w:tcPr>
          <w:p w14:paraId="355A3C6E" w14:textId="77777777" w:rsidR="00293F62" w:rsidRPr="009548E1" w:rsidRDefault="00293F62" w:rsidP="005C7D38">
            <w:pPr>
              <w:jc w:val="center"/>
              <w:rPr>
                <w:sz w:val="16"/>
                <w:szCs w:val="16"/>
              </w:rPr>
            </w:pPr>
            <w:r w:rsidRPr="009548E1">
              <w:rPr>
                <w:sz w:val="16"/>
                <w:szCs w:val="16"/>
              </w:rPr>
              <w:t>USD</w:t>
            </w:r>
          </w:p>
        </w:tc>
        <w:tc>
          <w:tcPr>
            <w:tcW w:w="1418" w:type="dxa"/>
            <w:tcBorders>
              <w:top w:val="nil"/>
              <w:left w:val="nil"/>
              <w:bottom w:val="single" w:sz="4" w:space="0" w:color="auto"/>
              <w:right w:val="single" w:sz="4" w:space="0" w:color="auto"/>
            </w:tcBorders>
            <w:shd w:val="clear" w:color="auto" w:fill="auto"/>
            <w:noWrap/>
            <w:vAlign w:val="center"/>
            <w:hideMark/>
          </w:tcPr>
          <w:p w14:paraId="61CD1DC1" w14:textId="77777777" w:rsidR="00293F62" w:rsidRPr="009548E1" w:rsidRDefault="00293F62" w:rsidP="005C7D38">
            <w:pPr>
              <w:jc w:val="right"/>
              <w:rPr>
                <w:sz w:val="16"/>
                <w:szCs w:val="16"/>
              </w:rPr>
            </w:pPr>
            <w:r w:rsidRPr="009548E1">
              <w:rPr>
                <w:sz w:val="16"/>
                <w:szCs w:val="16"/>
              </w:rPr>
              <w:t>202.334,00</w:t>
            </w:r>
          </w:p>
        </w:tc>
        <w:tc>
          <w:tcPr>
            <w:tcW w:w="2835" w:type="dxa"/>
            <w:tcBorders>
              <w:top w:val="nil"/>
              <w:left w:val="nil"/>
              <w:bottom w:val="single" w:sz="4" w:space="0" w:color="auto"/>
              <w:right w:val="single" w:sz="4" w:space="0" w:color="auto"/>
            </w:tcBorders>
            <w:shd w:val="clear" w:color="auto" w:fill="auto"/>
            <w:vAlign w:val="center"/>
            <w:hideMark/>
          </w:tcPr>
          <w:p w14:paraId="14FB4E22" w14:textId="77777777" w:rsidR="00293F62" w:rsidRPr="009548E1" w:rsidRDefault="00293F62" w:rsidP="005C7D38">
            <w:pPr>
              <w:jc w:val="right"/>
              <w:rPr>
                <w:sz w:val="16"/>
                <w:szCs w:val="16"/>
              </w:rPr>
            </w:pPr>
            <w:r w:rsidRPr="009548E1">
              <w:rPr>
                <w:sz w:val="16"/>
                <w:szCs w:val="16"/>
              </w:rPr>
              <w:t>183.107,69</w:t>
            </w:r>
          </w:p>
        </w:tc>
      </w:tr>
      <w:tr w:rsidR="00293F62" w:rsidRPr="009548E1" w14:paraId="1363BC61" w14:textId="77777777" w:rsidTr="005C7D38">
        <w:trPr>
          <w:trHeight w:val="330"/>
          <w:jc w:val="center"/>
        </w:trPr>
        <w:tc>
          <w:tcPr>
            <w:tcW w:w="1980" w:type="dxa"/>
            <w:gridSpan w:val="2"/>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14:paraId="477521A8" w14:textId="77777777" w:rsidR="00293F62" w:rsidRPr="009548E1" w:rsidRDefault="00293F62" w:rsidP="005C7D38">
            <w:pPr>
              <w:jc w:val="center"/>
              <w:rPr>
                <w:b/>
                <w:bCs/>
                <w:sz w:val="20"/>
                <w:szCs w:val="20"/>
              </w:rPr>
            </w:pPr>
            <w:r w:rsidRPr="009548E1">
              <w:rPr>
                <w:b/>
                <w:bCs/>
                <w:sz w:val="20"/>
                <w:szCs w:val="20"/>
              </w:rPr>
              <w:t>UKUPNO</w:t>
            </w:r>
          </w:p>
        </w:tc>
        <w:tc>
          <w:tcPr>
            <w:tcW w:w="1417" w:type="dxa"/>
            <w:tcBorders>
              <w:top w:val="double" w:sz="6" w:space="0" w:color="auto"/>
              <w:left w:val="nil"/>
              <w:bottom w:val="double" w:sz="6" w:space="0" w:color="auto"/>
              <w:right w:val="double" w:sz="6" w:space="0" w:color="auto"/>
            </w:tcBorders>
            <w:shd w:val="clear" w:color="auto" w:fill="auto"/>
            <w:noWrap/>
            <w:vAlign w:val="center"/>
            <w:hideMark/>
          </w:tcPr>
          <w:p w14:paraId="7398F422" w14:textId="77777777" w:rsidR="00293F62" w:rsidRPr="009548E1" w:rsidRDefault="00293F62" w:rsidP="005C7D38">
            <w:pPr>
              <w:jc w:val="center"/>
              <w:rPr>
                <w:b/>
                <w:bCs/>
                <w:sz w:val="20"/>
                <w:szCs w:val="20"/>
              </w:rPr>
            </w:pPr>
            <w:r w:rsidRPr="009548E1">
              <w:rPr>
                <w:b/>
                <w:bCs/>
                <w:sz w:val="20"/>
                <w:szCs w:val="20"/>
              </w:rPr>
              <w:t>HRK</w:t>
            </w:r>
          </w:p>
        </w:tc>
        <w:tc>
          <w:tcPr>
            <w:tcW w:w="1418" w:type="dxa"/>
            <w:tcBorders>
              <w:top w:val="double" w:sz="6" w:space="0" w:color="auto"/>
              <w:left w:val="nil"/>
              <w:bottom w:val="double" w:sz="6" w:space="0" w:color="auto"/>
              <w:right w:val="double" w:sz="6" w:space="0" w:color="auto"/>
            </w:tcBorders>
            <w:shd w:val="clear" w:color="auto" w:fill="auto"/>
            <w:noWrap/>
            <w:vAlign w:val="center"/>
            <w:hideMark/>
          </w:tcPr>
          <w:p w14:paraId="4DDAAED7" w14:textId="77777777" w:rsidR="00293F62" w:rsidRPr="009548E1" w:rsidRDefault="00293F62" w:rsidP="005C7D38">
            <w:pPr>
              <w:jc w:val="right"/>
              <w:rPr>
                <w:sz w:val="20"/>
                <w:szCs w:val="20"/>
              </w:rPr>
            </w:pPr>
            <w:r w:rsidRPr="009548E1">
              <w:rPr>
                <w:sz w:val="20"/>
                <w:szCs w:val="20"/>
              </w:rPr>
              <w:t>2.999.304,65</w:t>
            </w:r>
          </w:p>
        </w:tc>
        <w:tc>
          <w:tcPr>
            <w:tcW w:w="2835" w:type="dxa"/>
            <w:tcBorders>
              <w:top w:val="double" w:sz="6" w:space="0" w:color="auto"/>
              <w:left w:val="nil"/>
              <w:bottom w:val="double" w:sz="6" w:space="0" w:color="auto"/>
              <w:right w:val="double" w:sz="6" w:space="0" w:color="auto"/>
            </w:tcBorders>
            <w:shd w:val="clear" w:color="auto" w:fill="auto"/>
            <w:noWrap/>
            <w:vAlign w:val="center"/>
            <w:hideMark/>
          </w:tcPr>
          <w:p w14:paraId="59725CEC" w14:textId="77777777" w:rsidR="00293F62" w:rsidRPr="009548E1" w:rsidRDefault="00293F62" w:rsidP="005C7D38">
            <w:pPr>
              <w:jc w:val="right"/>
              <w:rPr>
                <w:sz w:val="20"/>
                <w:szCs w:val="20"/>
              </w:rPr>
            </w:pPr>
            <w:r w:rsidRPr="009548E1">
              <w:rPr>
                <w:sz w:val="20"/>
                <w:szCs w:val="20"/>
              </w:rPr>
              <w:t>398.076,14</w:t>
            </w:r>
          </w:p>
        </w:tc>
      </w:tr>
      <w:tr w:rsidR="00293F62" w:rsidRPr="009548E1" w14:paraId="19DCDA21" w14:textId="77777777" w:rsidTr="005C7D38">
        <w:trPr>
          <w:trHeight w:val="330"/>
          <w:jc w:val="center"/>
        </w:trPr>
        <w:tc>
          <w:tcPr>
            <w:tcW w:w="1980" w:type="dxa"/>
            <w:gridSpan w:val="2"/>
            <w:vMerge/>
            <w:tcBorders>
              <w:top w:val="double" w:sz="6" w:space="0" w:color="auto"/>
              <w:left w:val="double" w:sz="6" w:space="0" w:color="auto"/>
              <w:bottom w:val="double" w:sz="6" w:space="0" w:color="000000"/>
              <w:right w:val="double" w:sz="6" w:space="0" w:color="000000"/>
            </w:tcBorders>
            <w:vAlign w:val="center"/>
            <w:hideMark/>
          </w:tcPr>
          <w:p w14:paraId="743E8544" w14:textId="77777777" w:rsidR="00293F62" w:rsidRPr="009548E1" w:rsidRDefault="00293F62" w:rsidP="005C7D38">
            <w:pPr>
              <w:rPr>
                <w:b/>
                <w:bCs/>
                <w:sz w:val="20"/>
                <w:szCs w:val="20"/>
              </w:rPr>
            </w:pPr>
          </w:p>
        </w:tc>
        <w:tc>
          <w:tcPr>
            <w:tcW w:w="1417" w:type="dxa"/>
            <w:tcBorders>
              <w:top w:val="nil"/>
              <w:left w:val="nil"/>
              <w:bottom w:val="double" w:sz="6" w:space="0" w:color="auto"/>
              <w:right w:val="double" w:sz="6" w:space="0" w:color="auto"/>
            </w:tcBorders>
            <w:shd w:val="clear" w:color="auto" w:fill="auto"/>
            <w:noWrap/>
            <w:vAlign w:val="center"/>
            <w:hideMark/>
          </w:tcPr>
          <w:p w14:paraId="1D8B6C1B" w14:textId="77777777" w:rsidR="00293F62" w:rsidRPr="009548E1" w:rsidRDefault="00293F62" w:rsidP="005C7D38">
            <w:pPr>
              <w:jc w:val="center"/>
              <w:rPr>
                <w:b/>
                <w:bCs/>
                <w:sz w:val="20"/>
                <w:szCs w:val="20"/>
              </w:rPr>
            </w:pPr>
            <w:r w:rsidRPr="009548E1">
              <w:rPr>
                <w:b/>
                <w:bCs/>
                <w:sz w:val="20"/>
                <w:szCs w:val="20"/>
              </w:rPr>
              <w:t>USD</w:t>
            </w:r>
          </w:p>
        </w:tc>
        <w:tc>
          <w:tcPr>
            <w:tcW w:w="1418" w:type="dxa"/>
            <w:tcBorders>
              <w:top w:val="nil"/>
              <w:left w:val="nil"/>
              <w:bottom w:val="double" w:sz="6" w:space="0" w:color="auto"/>
              <w:right w:val="double" w:sz="6" w:space="0" w:color="auto"/>
            </w:tcBorders>
            <w:shd w:val="clear" w:color="auto" w:fill="auto"/>
            <w:noWrap/>
            <w:vAlign w:val="center"/>
            <w:hideMark/>
          </w:tcPr>
          <w:p w14:paraId="08BEF897" w14:textId="77777777" w:rsidR="00293F62" w:rsidRPr="009548E1" w:rsidRDefault="00293F62" w:rsidP="005C7D38">
            <w:pPr>
              <w:jc w:val="right"/>
              <w:rPr>
                <w:sz w:val="20"/>
                <w:szCs w:val="20"/>
              </w:rPr>
            </w:pPr>
            <w:r w:rsidRPr="009548E1">
              <w:rPr>
                <w:sz w:val="20"/>
                <w:szCs w:val="20"/>
              </w:rPr>
              <w:t>202.334,00</w:t>
            </w:r>
          </w:p>
        </w:tc>
        <w:tc>
          <w:tcPr>
            <w:tcW w:w="2835" w:type="dxa"/>
            <w:tcBorders>
              <w:top w:val="nil"/>
              <w:left w:val="nil"/>
              <w:bottom w:val="double" w:sz="6" w:space="0" w:color="auto"/>
              <w:right w:val="double" w:sz="6" w:space="0" w:color="auto"/>
            </w:tcBorders>
            <w:shd w:val="clear" w:color="auto" w:fill="auto"/>
            <w:noWrap/>
            <w:vAlign w:val="center"/>
            <w:hideMark/>
          </w:tcPr>
          <w:p w14:paraId="215375D9" w14:textId="77777777" w:rsidR="00293F62" w:rsidRPr="009548E1" w:rsidRDefault="00293F62" w:rsidP="005C7D38">
            <w:pPr>
              <w:jc w:val="right"/>
              <w:rPr>
                <w:sz w:val="20"/>
                <w:szCs w:val="20"/>
              </w:rPr>
            </w:pPr>
            <w:r w:rsidRPr="009548E1">
              <w:rPr>
                <w:sz w:val="20"/>
                <w:szCs w:val="20"/>
              </w:rPr>
              <w:t>183.107,69</w:t>
            </w:r>
          </w:p>
        </w:tc>
      </w:tr>
      <w:tr w:rsidR="00293F62" w:rsidRPr="009548E1" w14:paraId="5CF0CAF4" w14:textId="77777777" w:rsidTr="005C7D38">
        <w:trPr>
          <w:trHeight w:val="330"/>
          <w:jc w:val="center"/>
        </w:trPr>
        <w:tc>
          <w:tcPr>
            <w:tcW w:w="4815" w:type="dxa"/>
            <w:gridSpan w:val="4"/>
            <w:tcBorders>
              <w:top w:val="double" w:sz="6" w:space="0" w:color="auto"/>
              <w:left w:val="double" w:sz="6" w:space="0" w:color="auto"/>
              <w:bottom w:val="double" w:sz="6" w:space="0" w:color="000000"/>
              <w:right w:val="double" w:sz="6" w:space="0" w:color="auto"/>
            </w:tcBorders>
            <w:vAlign w:val="center"/>
          </w:tcPr>
          <w:p w14:paraId="48A8E4BA" w14:textId="77777777" w:rsidR="00293F62" w:rsidRPr="00BE16E5" w:rsidRDefault="00293F62" w:rsidP="005C7D38">
            <w:pPr>
              <w:jc w:val="right"/>
              <w:rPr>
                <w:b/>
                <w:sz w:val="20"/>
                <w:szCs w:val="20"/>
              </w:rPr>
            </w:pPr>
            <w:r w:rsidRPr="00BE16E5">
              <w:rPr>
                <w:b/>
                <w:sz w:val="20"/>
                <w:szCs w:val="20"/>
              </w:rPr>
              <w:t>Stanje obveza po izdanim mjenicama u eurima</w:t>
            </w:r>
          </w:p>
        </w:tc>
        <w:tc>
          <w:tcPr>
            <w:tcW w:w="2835" w:type="dxa"/>
            <w:tcBorders>
              <w:top w:val="nil"/>
              <w:left w:val="nil"/>
              <w:bottom w:val="double" w:sz="6" w:space="0" w:color="auto"/>
              <w:right w:val="double" w:sz="6" w:space="0" w:color="auto"/>
            </w:tcBorders>
            <w:shd w:val="clear" w:color="auto" w:fill="auto"/>
            <w:noWrap/>
            <w:vAlign w:val="center"/>
          </w:tcPr>
          <w:p w14:paraId="125B8B04" w14:textId="77777777" w:rsidR="00293F62" w:rsidRPr="00BE16E5" w:rsidRDefault="00293F62" w:rsidP="005C7D38">
            <w:pPr>
              <w:jc w:val="right"/>
              <w:rPr>
                <w:b/>
                <w:sz w:val="20"/>
                <w:szCs w:val="20"/>
              </w:rPr>
            </w:pPr>
            <w:r w:rsidRPr="00BE16E5">
              <w:rPr>
                <w:b/>
                <w:sz w:val="20"/>
                <w:szCs w:val="20"/>
              </w:rPr>
              <w:t>581.183,83</w:t>
            </w:r>
          </w:p>
        </w:tc>
      </w:tr>
    </w:tbl>
    <w:p w14:paraId="1CA6DCD1" w14:textId="77777777" w:rsidR="00293F62" w:rsidRPr="009548E1" w:rsidRDefault="00293F62" w:rsidP="00293F62">
      <w:pPr>
        <w:keepNext/>
        <w:jc w:val="center"/>
        <w:rPr>
          <w:sz w:val="28"/>
        </w:rPr>
      </w:pPr>
    </w:p>
    <w:p w14:paraId="4872002A" w14:textId="77777777" w:rsidR="00293F62" w:rsidRPr="009548E1" w:rsidRDefault="00293F62" w:rsidP="00293F62">
      <w:pPr>
        <w:keepNext/>
        <w:jc w:val="center"/>
        <w:rPr>
          <w:sz w:val="28"/>
        </w:rPr>
      </w:pPr>
      <w:r>
        <w:rPr>
          <w:sz w:val="28"/>
        </w:rPr>
        <w:t>Bilješka 23</w:t>
      </w:r>
      <w:r w:rsidRPr="009548E1">
        <w:rPr>
          <w:sz w:val="28"/>
        </w:rPr>
        <w:t>.</w:t>
      </w:r>
    </w:p>
    <w:p w14:paraId="587D149D" w14:textId="77777777" w:rsidR="00293F62" w:rsidRPr="009548E1" w:rsidRDefault="00293F62" w:rsidP="00293F62">
      <w:pPr>
        <w:keepNext/>
        <w:spacing w:after="240"/>
        <w:jc w:val="center"/>
        <w:rPr>
          <w:bCs/>
          <w:sz w:val="28"/>
        </w:rPr>
      </w:pPr>
      <w:r w:rsidRPr="009548E1">
        <w:rPr>
          <w:bCs/>
          <w:sz w:val="28"/>
        </w:rPr>
        <w:t>Šifra 2542 Obveza za obveznice – inozemne</w:t>
      </w:r>
    </w:p>
    <w:p w14:paraId="518C9E34" w14:textId="77777777" w:rsidR="00293F62" w:rsidRPr="009548E1" w:rsidRDefault="00293F62" w:rsidP="00293F62">
      <w:pPr>
        <w:jc w:val="both"/>
      </w:pPr>
      <w:r w:rsidRPr="009548E1">
        <w:t>Stanje obveza za inozemne obveznice na dan 31. prosinca 2023. godine iznosi 14.322.257.227,58 eura</w:t>
      </w:r>
      <w:r w:rsidRPr="009548E1">
        <w:rPr>
          <w:bCs/>
        </w:rPr>
        <w:t xml:space="preserve"> </w:t>
      </w:r>
      <w:r w:rsidRPr="009548E1">
        <w:t>dok su na dan 1. siječnja 2023. iznosile 13.989.663.251,40 eura. Iznos od 14.322.257.227,58 eura odnosi se na obvezu za sve inozemne obveznice izdane do 31. prosinca 2023. godine.</w:t>
      </w:r>
    </w:p>
    <w:p w14:paraId="1A9E228F" w14:textId="77777777" w:rsidR="00293F62" w:rsidRPr="009548E1" w:rsidRDefault="00293F62" w:rsidP="00293F62">
      <w:pPr>
        <w:jc w:val="both"/>
      </w:pPr>
    </w:p>
    <w:p w14:paraId="3FA0907B" w14:textId="77777777" w:rsidR="00293F62" w:rsidRPr="009548E1" w:rsidRDefault="00293F62" w:rsidP="00293F62">
      <w:pPr>
        <w:jc w:val="both"/>
      </w:pPr>
      <w:r>
        <w:t>U Tablici 9</w:t>
      </w:r>
      <w:r w:rsidRPr="009548E1">
        <w:t>. dan je prikaz obveza po aktivnim obveznicama izdanim na međunarodnom tržištu kapitala n</w:t>
      </w:r>
      <w:r>
        <w:t>a dan 31. prosinca 2023. godine.</w:t>
      </w:r>
    </w:p>
    <w:p w14:paraId="0DD391EF" w14:textId="77777777" w:rsidR="00293F62" w:rsidRPr="009548E1" w:rsidRDefault="00293F62" w:rsidP="00293F62">
      <w:pPr>
        <w:keepNext/>
        <w:jc w:val="both"/>
      </w:pPr>
    </w:p>
    <w:p w14:paraId="089229BC" w14:textId="77777777" w:rsidR="00293F62" w:rsidRPr="009548E1" w:rsidRDefault="00293F62" w:rsidP="00293F62">
      <w:pPr>
        <w:keepNext/>
        <w:jc w:val="both"/>
        <w:rPr>
          <w:b/>
          <w:sz w:val="20"/>
          <w:szCs w:val="20"/>
        </w:rPr>
      </w:pPr>
      <w:r>
        <w:rPr>
          <w:b/>
          <w:sz w:val="20"/>
          <w:szCs w:val="20"/>
        </w:rPr>
        <w:t>Tablica 9</w:t>
      </w:r>
      <w:r w:rsidRPr="009548E1">
        <w:rPr>
          <w:b/>
          <w:sz w:val="20"/>
          <w:szCs w:val="20"/>
        </w:rPr>
        <w:t>.</w:t>
      </w:r>
      <w:r>
        <w:rPr>
          <w:b/>
          <w:sz w:val="20"/>
          <w:szCs w:val="20"/>
        </w:rPr>
        <w:t xml:space="preserve"> Pregled aktivnih obveznica izdanih na međunarodnom tržištu kapitala</w:t>
      </w:r>
    </w:p>
    <w:tbl>
      <w:tblPr>
        <w:tblW w:w="7933" w:type="dxa"/>
        <w:jc w:val="center"/>
        <w:tblLook w:val="04A0" w:firstRow="1" w:lastRow="0" w:firstColumn="1" w:lastColumn="0" w:noHBand="0" w:noVBand="1"/>
      </w:tblPr>
      <w:tblGrid>
        <w:gridCol w:w="960"/>
        <w:gridCol w:w="3430"/>
        <w:gridCol w:w="1417"/>
        <w:gridCol w:w="2126"/>
      </w:tblGrid>
      <w:tr w:rsidR="00293F62" w:rsidRPr="009548E1" w14:paraId="27E5BFBE" w14:textId="77777777" w:rsidTr="005C7D38">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7D5B4" w14:textId="77777777" w:rsidR="00293F62" w:rsidRPr="009548E1" w:rsidRDefault="00293F62" w:rsidP="005C7D38">
            <w:pPr>
              <w:jc w:val="center"/>
              <w:rPr>
                <w:b/>
                <w:bCs/>
                <w:sz w:val="20"/>
                <w:szCs w:val="20"/>
              </w:rPr>
            </w:pPr>
            <w:r w:rsidRPr="009548E1">
              <w:rPr>
                <w:b/>
                <w:bCs/>
                <w:sz w:val="20"/>
                <w:szCs w:val="20"/>
              </w:rPr>
              <w:t>Red. broj</w:t>
            </w:r>
          </w:p>
        </w:tc>
        <w:tc>
          <w:tcPr>
            <w:tcW w:w="3430" w:type="dxa"/>
            <w:tcBorders>
              <w:top w:val="single" w:sz="4" w:space="0" w:color="auto"/>
              <w:left w:val="nil"/>
              <w:bottom w:val="single" w:sz="4" w:space="0" w:color="auto"/>
              <w:right w:val="single" w:sz="4" w:space="0" w:color="auto"/>
            </w:tcBorders>
            <w:shd w:val="clear" w:color="auto" w:fill="auto"/>
            <w:noWrap/>
            <w:vAlign w:val="center"/>
            <w:hideMark/>
          </w:tcPr>
          <w:p w14:paraId="46AE5460" w14:textId="77777777" w:rsidR="00293F62" w:rsidRPr="009548E1" w:rsidRDefault="00293F62" w:rsidP="005C7D38">
            <w:pPr>
              <w:jc w:val="center"/>
              <w:rPr>
                <w:b/>
                <w:bCs/>
                <w:sz w:val="20"/>
                <w:szCs w:val="20"/>
              </w:rPr>
            </w:pPr>
            <w:r w:rsidRPr="009548E1">
              <w:rPr>
                <w:b/>
                <w:bCs/>
                <w:sz w:val="20"/>
                <w:szCs w:val="20"/>
              </w:rPr>
              <w:t>Naziv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E7B5A0" w14:textId="77777777" w:rsidR="00293F62" w:rsidRPr="009548E1" w:rsidRDefault="00293F62" w:rsidP="005C7D38">
            <w:pPr>
              <w:jc w:val="center"/>
              <w:rPr>
                <w:b/>
                <w:bCs/>
                <w:sz w:val="20"/>
                <w:szCs w:val="20"/>
              </w:rPr>
            </w:pPr>
            <w:r w:rsidRPr="009548E1">
              <w:rPr>
                <w:b/>
                <w:bCs/>
                <w:sz w:val="20"/>
                <w:szCs w:val="20"/>
              </w:rPr>
              <w:t>Valuta</w:t>
            </w:r>
          </w:p>
        </w:tc>
        <w:tc>
          <w:tcPr>
            <w:tcW w:w="2126" w:type="dxa"/>
            <w:tcBorders>
              <w:top w:val="single" w:sz="4" w:space="0" w:color="auto"/>
              <w:left w:val="nil"/>
              <w:bottom w:val="nil"/>
              <w:right w:val="single" w:sz="4" w:space="0" w:color="auto"/>
            </w:tcBorders>
            <w:shd w:val="clear" w:color="auto" w:fill="auto"/>
            <w:vAlign w:val="center"/>
            <w:hideMark/>
          </w:tcPr>
          <w:p w14:paraId="5C2F914B" w14:textId="77777777" w:rsidR="00293F62" w:rsidRPr="009548E1" w:rsidRDefault="00293F62" w:rsidP="005C7D38">
            <w:pPr>
              <w:jc w:val="center"/>
              <w:rPr>
                <w:b/>
                <w:bCs/>
                <w:sz w:val="20"/>
                <w:szCs w:val="20"/>
              </w:rPr>
            </w:pPr>
            <w:r w:rsidRPr="009548E1">
              <w:rPr>
                <w:b/>
                <w:bCs/>
                <w:sz w:val="20"/>
                <w:szCs w:val="20"/>
              </w:rPr>
              <w:t xml:space="preserve">Stanje obveza na 31.12.2023. </w:t>
            </w:r>
          </w:p>
        </w:tc>
      </w:tr>
      <w:tr w:rsidR="00293F62" w:rsidRPr="009548E1" w14:paraId="7EDB7CCB"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F9992A" w14:textId="77777777" w:rsidR="00293F62" w:rsidRPr="009548E1" w:rsidRDefault="00293F62" w:rsidP="005C7D38">
            <w:pPr>
              <w:jc w:val="center"/>
              <w:rPr>
                <w:sz w:val="16"/>
                <w:szCs w:val="16"/>
              </w:rPr>
            </w:pPr>
            <w:r w:rsidRPr="009548E1">
              <w:rPr>
                <w:sz w:val="16"/>
                <w:szCs w:val="16"/>
              </w:rPr>
              <w:t>1.</w:t>
            </w:r>
          </w:p>
        </w:tc>
        <w:tc>
          <w:tcPr>
            <w:tcW w:w="3430" w:type="dxa"/>
            <w:tcBorders>
              <w:top w:val="nil"/>
              <w:left w:val="nil"/>
              <w:bottom w:val="single" w:sz="4" w:space="0" w:color="auto"/>
              <w:right w:val="single" w:sz="4" w:space="0" w:color="auto"/>
            </w:tcBorders>
            <w:shd w:val="clear" w:color="auto" w:fill="auto"/>
            <w:noWrap/>
            <w:vAlign w:val="center"/>
            <w:hideMark/>
          </w:tcPr>
          <w:p w14:paraId="0975C27E" w14:textId="77777777" w:rsidR="00293F62" w:rsidRPr="009548E1" w:rsidRDefault="00293F62" w:rsidP="005C7D38">
            <w:pPr>
              <w:rPr>
                <w:sz w:val="16"/>
                <w:szCs w:val="16"/>
              </w:rPr>
            </w:pPr>
            <w:r w:rsidRPr="009548E1">
              <w:rPr>
                <w:sz w:val="16"/>
                <w:szCs w:val="16"/>
              </w:rPr>
              <w:t>Euro-USD obveznice VI D-24 (</w:t>
            </w:r>
            <w:proofErr w:type="spellStart"/>
            <w:r w:rsidRPr="009548E1">
              <w:rPr>
                <w:sz w:val="16"/>
                <w:szCs w:val="16"/>
              </w:rPr>
              <w:t>cross</w:t>
            </w:r>
            <w:proofErr w:type="spellEnd"/>
            <w:r w:rsidRPr="009548E1">
              <w:rPr>
                <w:sz w:val="16"/>
                <w:szCs w:val="16"/>
              </w:rPr>
              <w:t xml:space="preserve"> </w:t>
            </w:r>
            <w:proofErr w:type="spellStart"/>
            <w:r w:rsidRPr="009548E1">
              <w:rPr>
                <w:sz w:val="16"/>
                <w:szCs w:val="16"/>
              </w:rPr>
              <w:t>currency</w:t>
            </w:r>
            <w:proofErr w:type="spellEnd"/>
            <w:r w:rsidRPr="009548E1">
              <w:rPr>
                <w:sz w:val="16"/>
                <w:szCs w:val="16"/>
              </w:rPr>
              <w:t xml:space="preserve"> </w:t>
            </w:r>
            <w:proofErr w:type="spellStart"/>
            <w:r w:rsidRPr="009548E1">
              <w:rPr>
                <w:sz w:val="16"/>
                <w:szCs w:val="16"/>
              </w:rPr>
              <w:t>swap</w:t>
            </w:r>
            <w:proofErr w:type="spellEnd"/>
            <w:r w:rsidRPr="009548E1">
              <w:rPr>
                <w:sz w:val="16"/>
                <w:szCs w:val="16"/>
              </w:rPr>
              <w:t>)</w:t>
            </w:r>
          </w:p>
        </w:tc>
        <w:tc>
          <w:tcPr>
            <w:tcW w:w="1417" w:type="dxa"/>
            <w:tcBorders>
              <w:top w:val="nil"/>
              <w:left w:val="nil"/>
              <w:bottom w:val="single" w:sz="4" w:space="0" w:color="auto"/>
              <w:right w:val="single" w:sz="4" w:space="0" w:color="auto"/>
            </w:tcBorders>
            <w:shd w:val="clear" w:color="auto" w:fill="auto"/>
            <w:noWrap/>
            <w:vAlign w:val="center"/>
            <w:hideMark/>
          </w:tcPr>
          <w:p w14:paraId="05B31446" w14:textId="77777777" w:rsidR="00293F62" w:rsidRPr="009548E1" w:rsidRDefault="00293F62" w:rsidP="005C7D38">
            <w:pPr>
              <w:jc w:val="center"/>
              <w:rPr>
                <w:sz w:val="16"/>
                <w:szCs w:val="16"/>
              </w:rPr>
            </w:pPr>
            <w:r w:rsidRPr="009548E1">
              <w:rPr>
                <w:sz w:val="16"/>
                <w:szCs w:val="16"/>
              </w:rPr>
              <w:t>EUR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21D7342" w14:textId="77777777" w:rsidR="00293F62" w:rsidRPr="009548E1" w:rsidRDefault="00293F62" w:rsidP="005C7D38">
            <w:pPr>
              <w:jc w:val="right"/>
              <w:rPr>
                <w:sz w:val="16"/>
                <w:szCs w:val="16"/>
              </w:rPr>
            </w:pPr>
            <w:r w:rsidRPr="009548E1">
              <w:rPr>
                <w:sz w:val="16"/>
                <w:szCs w:val="16"/>
              </w:rPr>
              <w:t>1.297.257.227,57</w:t>
            </w:r>
          </w:p>
        </w:tc>
      </w:tr>
      <w:tr w:rsidR="00293F62" w:rsidRPr="009548E1" w14:paraId="1BBBBFB6"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4F856F" w14:textId="77777777" w:rsidR="00293F62" w:rsidRPr="009548E1" w:rsidRDefault="00293F62" w:rsidP="005C7D38">
            <w:pPr>
              <w:jc w:val="center"/>
              <w:rPr>
                <w:sz w:val="16"/>
                <w:szCs w:val="16"/>
              </w:rPr>
            </w:pPr>
            <w:r w:rsidRPr="009548E1">
              <w:rPr>
                <w:sz w:val="16"/>
                <w:szCs w:val="16"/>
              </w:rPr>
              <w:t>2.</w:t>
            </w:r>
          </w:p>
        </w:tc>
        <w:tc>
          <w:tcPr>
            <w:tcW w:w="3430" w:type="dxa"/>
            <w:tcBorders>
              <w:top w:val="nil"/>
              <w:left w:val="nil"/>
              <w:bottom w:val="single" w:sz="4" w:space="0" w:color="auto"/>
              <w:right w:val="single" w:sz="4" w:space="0" w:color="auto"/>
            </w:tcBorders>
            <w:shd w:val="clear" w:color="auto" w:fill="auto"/>
            <w:noWrap/>
            <w:vAlign w:val="center"/>
            <w:hideMark/>
          </w:tcPr>
          <w:p w14:paraId="16BEDFC0" w14:textId="77777777" w:rsidR="00293F62" w:rsidRPr="009548E1" w:rsidRDefault="00293F62" w:rsidP="005C7D38">
            <w:pPr>
              <w:rPr>
                <w:sz w:val="16"/>
                <w:szCs w:val="16"/>
              </w:rPr>
            </w:pPr>
            <w:r w:rsidRPr="009548E1">
              <w:rPr>
                <w:sz w:val="16"/>
                <w:szCs w:val="16"/>
              </w:rPr>
              <w:t>Euro-EUR obveznice/X</w:t>
            </w:r>
          </w:p>
        </w:tc>
        <w:tc>
          <w:tcPr>
            <w:tcW w:w="1417" w:type="dxa"/>
            <w:tcBorders>
              <w:top w:val="nil"/>
              <w:left w:val="nil"/>
              <w:bottom w:val="single" w:sz="4" w:space="0" w:color="auto"/>
              <w:right w:val="single" w:sz="4" w:space="0" w:color="auto"/>
            </w:tcBorders>
            <w:shd w:val="clear" w:color="auto" w:fill="auto"/>
            <w:noWrap/>
            <w:vAlign w:val="center"/>
            <w:hideMark/>
          </w:tcPr>
          <w:p w14:paraId="339A75DC" w14:textId="77777777" w:rsidR="00293F62" w:rsidRPr="009548E1" w:rsidRDefault="00293F62" w:rsidP="005C7D38">
            <w:pPr>
              <w:jc w:val="center"/>
              <w:rPr>
                <w:sz w:val="16"/>
                <w:szCs w:val="16"/>
              </w:rPr>
            </w:pPr>
            <w:r w:rsidRPr="009548E1">
              <w:rPr>
                <w:sz w:val="16"/>
                <w:szCs w:val="16"/>
              </w:rPr>
              <w:t>EUR</w:t>
            </w:r>
          </w:p>
        </w:tc>
        <w:tc>
          <w:tcPr>
            <w:tcW w:w="2126" w:type="dxa"/>
            <w:tcBorders>
              <w:top w:val="nil"/>
              <w:left w:val="nil"/>
              <w:bottom w:val="single" w:sz="4" w:space="0" w:color="auto"/>
              <w:right w:val="single" w:sz="4" w:space="0" w:color="auto"/>
            </w:tcBorders>
            <w:shd w:val="clear" w:color="auto" w:fill="auto"/>
            <w:noWrap/>
            <w:vAlign w:val="center"/>
            <w:hideMark/>
          </w:tcPr>
          <w:p w14:paraId="47A839BC" w14:textId="77777777" w:rsidR="00293F62" w:rsidRPr="009548E1" w:rsidRDefault="00293F62" w:rsidP="005C7D38">
            <w:pPr>
              <w:jc w:val="right"/>
              <w:rPr>
                <w:sz w:val="16"/>
                <w:szCs w:val="16"/>
              </w:rPr>
            </w:pPr>
            <w:r w:rsidRPr="009548E1">
              <w:rPr>
                <w:sz w:val="16"/>
                <w:szCs w:val="16"/>
              </w:rPr>
              <w:t>1.500.000.000,00</w:t>
            </w:r>
          </w:p>
        </w:tc>
      </w:tr>
      <w:tr w:rsidR="00293F62" w:rsidRPr="009548E1" w14:paraId="3CBDD9B3"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B65780" w14:textId="77777777" w:rsidR="00293F62" w:rsidRPr="009548E1" w:rsidRDefault="00293F62" w:rsidP="005C7D38">
            <w:pPr>
              <w:jc w:val="center"/>
              <w:rPr>
                <w:sz w:val="16"/>
                <w:szCs w:val="16"/>
              </w:rPr>
            </w:pPr>
            <w:r w:rsidRPr="009548E1">
              <w:rPr>
                <w:sz w:val="16"/>
                <w:szCs w:val="16"/>
              </w:rPr>
              <w:t>3.</w:t>
            </w:r>
          </w:p>
        </w:tc>
        <w:tc>
          <w:tcPr>
            <w:tcW w:w="3430" w:type="dxa"/>
            <w:tcBorders>
              <w:top w:val="nil"/>
              <w:left w:val="nil"/>
              <w:bottom w:val="single" w:sz="4" w:space="0" w:color="auto"/>
              <w:right w:val="single" w:sz="4" w:space="0" w:color="auto"/>
            </w:tcBorders>
            <w:shd w:val="clear" w:color="auto" w:fill="auto"/>
            <w:noWrap/>
            <w:vAlign w:val="center"/>
            <w:hideMark/>
          </w:tcPr>
          <w:p w14:paraId="4A478DAF" w14:textId="77777777" w:rsidR="00293F62" w:rsidRPr="009548E1" w:rsidRDefault="00293F62" w:rsidP="005C7D38">
            <w:pPr>
              <w:rPr>
                <w:sz w:val="16"/>
                <w:szCs w:val="16"/>
              </w:rPr>
            </w:pPr>
            <w:r w:rsidRPr="009548E1">
              <w:rPr>
                <w:sz w:val="16"/>
                <w:szCs w:val="16"/>
              </w:rPr>
              <w:t>Euro-EUR obveznice/XI</w:t>
            </w:r>
          </w:p>
        </w:tc>
        <w:tc>
          <w:tcPr>
            <w:tcW w:w="1417" w:type="dxa"/>
            <w:tcBorders>
              <w:top w:val="nil"/>
              <w:left w:val="nil"/>
              <w:bottom w:val="single" w:sz="4" w:space="0" w:color="auto"/>
              <w:right w:val="single" w:sz="4" w:space="0" w:color="auto"/>
            </w:tcBorders>
            <w:shd w:val="clear" w:color="auto" w:fill="auto"/>
            <w:noWrap/>
            <w:vAlign w:val="center"/>
            <w:hideMark/>
          </w:tcPr>
          <w:p w14:paraId="361357A7" w14:textId="77777777" w:rsidR="00293F62" w:rsidRPr="009548E1" w:rsidRDefault="00293F62" w:rsidP="005C7D38">
            <w:pPr>
              <w:jc w:val="center"/>
              <w:rPr>
                <w:sz w:val="16"/>
                <w:szCs w:val="16"/>
              </w:rPr>
            </w:pPr>
            <w:r w:rsidRPr="009548E1">
              <w:rPr>
                <w:sz w:val="16"/>
                <w:szCs w:val="16"/>
              </w:rPr>
              <w:t>EUR</w:t>
            </w:r>
          </w:p>
        </w:tc>
        <w:tc>
          <w:tcPr>
            <w:tcW w:w="2126" w:type="dxa"/>
            <w:tcBorders>
              <w:top w:val="nil"/>
              <w:left w:val="nil"/>
              <w:bottom w:val="single" w:sz="4" w:space="0" w:color="auto"/>
              <w:right w:val="single" w:sz="4" w:space="0" w:color="auto"/>
            </w:tcBorders>
            <w:shd w:val="clear" w:color="auto" w:fill="auto"/>
            <w:noWrap/>
            <w:vAlign w:val="center"/>
            <w:hideMark/>
          </w:tcPr>
          <w:p w14:paraId="1F167CC8" w14:textId="77777777" w:rsidR="00293F62" w:rsidRPr="009548E1" w:rsidRDefault="00293F62" w:rsidP="005C7D38">
            <w:pPr>
              <w:jc w:val="right"/>
              <w:rPr>
                <w:sz w:val="16"/>
                <w:szCs w:val="16"/>
              </w:rPr>
            </w:pPr>
            <w:r w:rsidRPr="009548E1">
              <w:rPr>
                <w:sz w:val="16"/>
                <w:szCs w:val="16"/>
              </w:rPr>
              <w:t>1.250.000.000,00</w:t>
            </w:r>
          </w:p>
        </w:tc>
      </w:tr>
      <w:tr w:rsidR="00293F62" w:rsidRPr="009548E1" w14:paraId="68497A91"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558816" w14:textId="77777777" w:rsidR="00293F62" w:rsidRPr="009548E1" w:rsidRDefault="00293F62" w:rsidP="005C7D38">
            <w:pPr>
              <w:jc w:val="center"/>
              <w:rPr>
                <w:sz w:val="16"/>
                <w:szCs w:val="16"/>
              </w:rPr>
            </w:pPr>
            <w:r w:rsidRPr="009548E1">
              <w:rPr>
                <w:sz w:val="16"/>
                <w:szCs w:val="16"/>
              </w:rPr>
              <w:t>4.</w:t>
            </w:r>
          </w:p>
        </w:tc>
        <w:tc>
          <w:tcPr>
            <w:tcW w:w="3430" w:type="dxa"/>
            <w:tcBorders>
              <w:top w:val="nil"/>
              <w:left w:val="nil"/>
              <w:bottom w:val="single" w:sz="4" w:space="0" w:color="auto"/>
              <w:right w:val="single" w:sz="4" w:space="0" w:color="auto"/>
            </w:tcBorders>
            <w:shd w:val="clear" w:color="auto" w:fill="auto"/>
            <w:noWrap/>
            <w:vAlign w:val="center"/>
            <w:hideMark/>
          </w:tcPr>
          <w:p w14:paraId="1E528897" w14:textId="77777777" w:rsidR="00293F62" w:rsidRPr="009548E1" w:rsidRDefault="00293F62" w:rsidP="005C7D38">
            <w:pPr>
              <w:rPr>
                <w:sz w:val="16"/>
                <w:szCs w:val="16"/>
              </w:rPr>
            </w:pPr>
            <w:r w:rsidRPr="009548E1">
              <w:rPr>
                <w:sz w:val="16"/>
                <w:szCs w:val="16"/>
              </w:rPr>
              <w:t>Euro-EUR obveznice/XII</w:t>
            </w:r>
          </w:p>
        </w:tc>
        <w:tc>
          <w:tcPr>
            <w:tcW w:w="1417" w:type="dxa"/>
            <w:tcBorders>
              <w:top w:val="nil"/>
              <w:left w:val="nil"/>
              <w:bottom w:val="single" w:sz="4" w:space="0" w:color="auto"/>
              <w:right w:val="single" w:sz="4" w:space="0" w:color="auto"/>
            </w:tcBorders>
            <w:shd w:val="clear" w:color="auto" w:fill="auto"/>
            <w:noWrap/>
            <w:vAlign w:val="center"/>
            <w:hideMark/>
          </w:tcPr>
          <w:p w14:paraId="5F4EBF1A" w14:textId="77777777" w:rsidR="00293F62" w:rsidRPr="009548E1" w:rsidRDefault="00293F62" w:rsidP="005C7D38">
            <w:pPr>
              <w:jc w:val="center"/>
              <w:rPr>
                <w:sz w:val="16"/>
                <w:szCs w:val="16"/>
              </w:rPr>
            </w:pPr>
            <w:r w:rsidRPr="009548E1">
              <w:rPr>
                <w:sz w:val="16"/>
                <w:szCs w:val="16"/>
              </w:rPr>
              <w:t>EUR</w:t>
            </w:r>
          </w:p>
        </w:tc>
        <w:tc>
          <w:tcPr>
            <w:tcW w:w="2126" w:type="dxa"/>
            <w:tcBorders>
              <w:top w:val="nil"/>
              <w:left w:val="nil"/>
              <w:bottom w:val="single" w:sz="4" w:space="0" w:color="auto"/>
              <w:right w:val="single" w:sz="4" w:space="0" w:color="auto"/>
            </w:tcBorders>
            <w:shd w:val="clear" w:color="auto" w:fill="auto"/>
            <w:noWrap/>
            <w:vAlign w:val="center"/>
            <w:hideMark/>
          </w:tcPr>
          <w:p w14:paraId="6B0635C3" w14:textId="77777777" w:rsidR="00293F62" w:rsidRPr="009548E1" w:rsidRDefault="00293F62" w:rsidP="005C7D38">
            <w:pPr>
              <w:jc w:val="right"/>
              <w:rPr>
                <w:sz w:val="16"/>
                <w:szCs w:val="16"/>
              </w:rPr>
            </w:pPr>
            <w:r w:rsidRPr="009548E1">
              <w:rPr>
                <w:sz w:val="16"/>
                <w:szCs w:val="16"/>
              </w:rPr>
              <w:t>1.275.000.000,00</w:t>
            </w:r>
          </w:p>
        </w:tc>
      </w:tr>
      <w:tr w:rsidR="00293F62" w:rsidRPr="009548E1" w14:paraId="25898846"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EFE8E9" w14:textId="77777777" w:rsidR="00293F62" w:rsidRPr="009548E1" w:rsidRDefault="00293F62" w:rsidP="005C7D38">
            <w:pPr>
              <w:jc w:val="center"/>
              <w:rPr>
                <w:sz w:val="16"/>
                <w:szCs w:val="16"/>
              </w:rPr>
            </w:pPr>
            <w:r w:rsidRPr="009548E1">
              <w:rPr>
                <w:sz w:val="16"/>
                <w:szCs w:val="16"/>
              </w:rPr>
              <w:t>5.</w:t>
            </w:r>
          </w:p>
        </w:tc>
        <w:tc>
          <w:tcPr>
            <w:tcW w:w="3430" w:type="dxa"/>
            <w:tcBorders>
              <w:top w:val="nil"/>
              <w:left w:val="nil"/>
              <w:bottom w:val="single" w:sz="4" w:space="0" w:color="auto"/>
              <w:right w:val="single" w:sz="4" w:space="0" w:color="auto"/>
            </w:tcBorders>
            <w:shd w:val="clear" w:color="auto" w:fill="auto"/>
            <w:noWrap/>
            <w:vAlign w:val="center"/>
            <w:hideMark/>
          </w:tcPr>
          <w:p w14:paraId="3FC7237D" w14:textId="77777777" w:rsidR="00293F62" w:rsidRPr="009548E1" w:rsidRDefault="00293F62" w:rsidP="005C7D38">
            <w:pPr>
              <w:rPr>
                <w:sz w:val="16"/>
                <w:szCs w:val="16"/>
              </w:rPr>
            </w:pPr>
            <w:r w:rsidRPr="009548E1">
              <w:rPr>
                <w:sz w:val="16"/>
                <w:szCs w:val="16"/>
              </w:rPr>
              <w:t>Euro-EUR obveznice/XIII</w:t>
            </w:r>
          </w:p>
        </w:tc>
        <w:tc>
          <w:tcPr>
            <w:tcW w:w="1417" w:type="dxa"/>
            <w:tcBorders>
              <w:top w:val="nil"/>
              <w:left w:val="nil"/>
              <w:bottom w:val="single" w:sz="4" w:space="0" w:color="auto"/>
              <w:right w:val="single" w:sz="4" w:space="0" w:color="auto"/>
            </w:tcBorders>
            <w:shd w:val="clear" w:color="auto" w:fill="auto"/>
            <w:noWrap/>
            <w:vAlign w:val="center"/>
            <w:hideMark/>
          </w:tcPr>
          <w:p w14:paraId="55A93B04" w14:textId="77777777" w:rsidR="00293F62" w:rsidRPr="009548E1" w:rsidRDefault="00293F62" w:rsidP="005C7D38">
            <w:pPr>
              <w:jc w:val="center"/>
              <w:rPr>
                <w:sz w:val="16"/>
                <w:szCs w:val="16"/>
              </w:rPr>
            </w:pPr>
            <w:r w:rsidRPr="009548E1">
              <w:rPr>
                <w:sz w:val="16"/>
                <w:szCs w:val="16"/>
              </w:rPr>
              <w:t>EUR</w:t>
            </w:r>
          </w:p>
        </w:tc>
        <w:tc>
          <w:tcPr>
            <w:tcW w:w="2126" w:type="dxa"/>
            <w:tcBorders>
              <w:top w:val="nil"/>
              <w:left w:val="nil"/>
              <w:bottom w:val="single" w:sz="4" w:space="0" w:color="auto"/>
              <w:right w:val="single" w:sz="4" w:space="0" w:color="auto"/>
            </w:tcBorders>
            <w:shd w:val="clear" w:color="auto" w:fill="auto"/>
            <w:noWrap/>
            <w:vAlign w:val="center"/>
            <w:hideMark/>
          </w:tcPr>
          <w:p w14:paraId="5849E2AA" w14:textId="77777777" w:rsidR="00293F62" w:rsidRPr="009548E1" w:rsidRDefault="00293F62" w:rsidP="005C7D38">
            <w:pPr>
              <w:jc w:val="right"/>
              <w:rPr>
                <w:sz w:val="16"/>
                <w:szCs w:val="16"/>
              </w:rPr>
            </w:pPr>
            <w:r w:rsidRPr="009548E1">
              <w:rPr>
                <w:sz w:val="16"/>
                <w:szCs w:val="16"/>
              </w:rPr>
              <w:t>750.000.000,00</w:t>
            </w:r>
          </w:p>
        </w:tc>
      </w:tr>
      <w:tr w:rsidR="00293F62" w:rsidRPr="009548E1" w14:paraId="0F45D258"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3DAA37" w14:textId="77777777" w:rsidR="00293F62" w:rsidRPr="009548E1" w:rsidRDefault="00293F62" w:rsidP="005C7D38">
            <w:pPr>
              <w:jc w:val="center"/>
              <w:rPr>
                <w:sz w:val="16"/>
                <w:szCs w:val="16"/>
              </w:rPr>
            </w:pPr>
            <w:r w:rsidRPr="009548E1">
              <w:rPr>
                <w:sz w:val="16"/>
                <w:szCs w:val="16"/>
              </w:rPr>
              <w:t>6.</w:t>
            </w:r>
          </w:p>
        </w:tc>
        <w:tc>
          <w:tcPr>
            <w:tcW w:w="3430" w:type="dxa"/>
            <w:tcBorders>
              <w:top w:val="nil"/>
              <w:left w:val="nil"/>
              <w:bottom w:val="single" w:sz="4" w:space="0" w:color="auto"/>
              <w:right w:val="single" w:sz="4" w:space="0" w:color="auto"/>
            </w:tcBorders>
            <w:shd w:val="clear" w:color="auto" w:fill="auto"/>
            <w:noWrap/>
            <w:vAlign w:val="center"/>
            <w:hideMark/>
          </w:tcPr>
          <w:p w14:paraId="60B7D014" w14:textId="77777777" w:rsidR="00293F62" w:rsidRPr="009548E1" w:rsidRDefault="00293F62" w:rsidP="005C7D38">
            <w:pPr>
              <w:rPr>
                <w:sz w:val="16"/>
                <w:szCs w:val="16"/>
              </w:rPr>
            </w:pPr>
            <w:r w:rsidRPr="009548E1">
              <w:rPr>
                <w:sz w:val="16"/>
                <w:szCs w:val="16"/>
              </w:rPr>
              <w:t>Euro-EUR obveznice/XIV</w:t>
            </w:r>
          </w:p>
        </w:tc>
        <w:tc>
          <w:tcPr>
            <w:tcW w:w="1417" w:type="dxa"/>
            <w:tcBorders>
              <w:top w:val="nil"/>
              <w:left w:val="nil"/>
              <w:bottom w:val="single" w:sz="4" w:space="0" w:color="auto"/>
              <w:right w:val="single" w:sz="4" w:space="0" w:color="auto"/>
            </w:tcBorders>
            <w:shd w:val="clear" w:color="auto" w:fill="auto"/>
            <w:noWrap/>
            <w:vAlign w:val="center"/>
            <w:hideMark/>
          </w:tcPr>
          <w:p w14:paraId="06B66FC7" w14:textId="77777777" w:rsidR="00293F62" w:rsidRPr="009548E1" w:rsidRDefault="00293F62" w:rsidP="005C7D38">
            <w:pPr>
              <w:jc w:val="center"/>
              <w:rPr>
                <w:sz w:val="16"/>
                <w:szCs w:val="16"/>
              </w:rPr>
            </w:pPr>
            <w:r w:rsidRPr="009548E1">
              <w:rPr>
                <w:sz w:val="16"/>
                <w:szCs w:val="16"/>
              </w:rPr>
              <w:t>EUR</w:t>
            </w:r>
          </w:p>
        </w:tc>
        <w:tc>
          <w:tcPr>
            <w:tcW w:w="2126" w:type="dxa"/>
            <w:tcBorders>
              <w:top w:val="nil"/>
              <w:left w:val="nil"/>
              <w:bottom w:val="single" w:sz="4" w:space="0" w:color="auto"/>
              <w:right w:val="single" w:sz="4" w:space="0" w:color="auto"/>
            </w:tcBorders>
            <w:shd w:val="clear" w:color="auto" w:fill="auto"/>
            <w:noWrap/>
            <w:vAlign w:val="center"/>
            <w:hideMark/>
          </w:tcPr>
          <w:p w14:paraId="1FEAD6F9" w14:textId="77777777" w:rsidR="00293F62" w:rsidRPr="009548E1" w:rsidRDefault="00293F62" w:rsidP="005C7D38">
            <w:pPr>
              <w:jc w:val="right"/>
              <w:rPr>
                <w:sz w:val="16"/>
                <w:szCs w:val="16"/>
              </w:rPr>
            </w:pPr>
            <w:r w:rsidRPr="009548E1">
              <w:rPr>
                <w:sz w:val="16"/>
                <w:szCs w:val="16"/>
              </w:rPr>
              <w:t>1.500.000.000,00</w:t>
            </w:r>
          </w:p>
        </w:tc>
      </w:tr>
      <w:tr w:rsidR="00293F62" w:rsidRPr="009548E1" w14:paraId="2A493FC8"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A3432D" w14:textId="77777777" w:rsidR="00293F62" w:rsidRPr="009548E1" w:rsidRDefault="00293F62" w:rsidP="005C7D38">
            <w:pPr>
              <w:jc w:val="center"/>
              <w:rPr>
                <w:sz w:val="16"/>
                <w:szCs w:val="16"/>
              </w:rPr>
            </w:pPr>
            <w:r w:rsidRPr="009548E1">
              <w:rPr>
                <w:sz w:val="16"/>
                <w:szCs w:val="16"/>
              </w:rPr>
              <w:t>7.</w:t>
            </w:r>
          </w:p>
        </w:tc>
        <w:tc>
          <w:tcPr>
            <w:tcW w:w="3430" w:type="dxa"/>
            <w:tcBorders>
              <w:top w:val="nil"/>
              <w:left w:val="nil"/>
              <w:bottom w:val="single" w:sz="4" w:space="0" w:color="auto"/>
              <w:right w:val="single" w:sz="4" w:space="0" w:color="auto"/>
            </w:tcBorders>
            <w:shd w:val="clear" w:color="auto" w:fill="auto"/>
            <w:noWrap/>
            <w:vAlign w:val="center"/>
            <w:hideMark/>
          </w:tcPr>
          <w:p w14:paraId="0654DA96" w14:textId="77777777" w:rsidR="00293F62" w:rsidRPr="009548E1" w:rsidRDefault="00293F62" w:rsidP="005C7D38">
            <w:pPr>
              <w:rPr>
                <w:sz w:val="16"/>
                <w:szCs w:val="16"/>
              </w:rPr>
            </w:pPr>
            <w:r w:rsidRPr="009548E1">
              <w:rPr>
                <w:sz w:val="16"/>
                <w:szCs w:val="16"/>
              </w:rPr>
              <w:t>Euro-EUR obveznice/XIX</w:t>
            </w:r>
          </w:p>
        </w:tc>
        <w:tc>
          <w:tcPr>
            <w:tcW w:w="1417" w:type="dxa"/>
            <w:tcBorders>
              <w:top w:val="nil"/>
              <w:left w:val="nil"/>
              <w:bottom w:val="single" w:sz="4" w:space="0" w:color="auto"/>
              <w:right w:val="single" w:sz="4" w:space="0" w:color="auto"/>
            </w:tcBorders>
            <w:shd w:val="clear" w:color="auto" w:fill="auto"/>
            <w:noWrap/>
            <w:vAlign w:val="center"/>
            <w:hideMark/>
          </w:tcPr>
          <w:p w14:paraId="005259AE" w14:textId="77777777" w:rsidR="00293F62" w:rsidRPr="009548E1" w:rsidRDefault="00293F62" w:rsidP="005C7D38">
            <w:pPr>
              <w:jc w:val="center"/>
              <w:rPr>
                <w:sz w:val="16"/>
                <w:szCs w:val="16"/>
              </w:rPr>
            </w:pPr>
            <w:r w:rsidRPr="009548E1">
              <w:rPr>
                <w:sz w:val="16"/>
                <w:szCs w:val="16"/>
              </w:rPr>
              <w:t>EUR</w:t>
            </w:r>
          </w:p>
        </w:tc>
        <w:tc>
          <w:tcPr>
            <w:tcW w:w="2126" w:type="dxa"/>
            <w:tcBorders>
              <w:top w:val="nil"/>
              <w:left w:val="nil"/>
              <w:bottom w:val="single" w:sz="4" w:space="0" w:color="auto"/>
              <w:right w:val="single" w:sz="4" w:space="0" w:color="auto"/>
            </w:tcBorders>
            <w:shd w:val="clear" w:color="auto" w:fill="auto"/>
            <w:noWrap/>
            <w:vAlign w:val="center"/>
            <w:hideMark/>
          </w:tcPr>
          <w:p w14:paraId="724709A0" w14:textId="77777777" w:rsidR="00293F62" w:rsidRPr="009548E1" w:rsidRDefault="00293F62" w:rsidP="005C7D38">
            <w:pPr>
              <w:jc w:val="right"/>
              <w:rPr>
                <w:sz w:val="16"/>
                <w:szCs w:val="16"/>
              </w:rPr>
            </w:pPr>
            <w:r w:rsidRPr="009548E1">
              <w:rPr>
                <w:sz w:val="16"/>
                <w:szCs w:val="16"/>
              </w:rPr>
              <w:t>1.500.000.000,00</w:t>
            </w:r>
          </w:p>
        </w:tc>
      </w:tr>
      <w:tr w:rsidR="00293F62" w:rsidRPr="009548E1" w14:paraId="5E6D356C"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2098DF" w14:textId="77777777" w:rsidR="00293F62" w:rsidRPr="009548E1" w:rsidRDefault="00293F62" w:rsidP="005C7D38">
            <w:pPr>
              <w:jc w:val="center"/>
              <w:rPr>
                <w:sz w:val="16"/>
                <w:szCs w:val="16"/>
              </w:rPr>
            </w:pPr>
            <w:r w:rsidRPr="009548E1">
              <w:rPr>
                <w:sz w:val="16"/>
                <w:szCs w:val="16"/>
              </w:rPr>
              <w:t>8.</w:t>
            </w:r>
          </w:p>
        </w:tc>
        <w:tc>
          <w:tcPr>
            <w:tcW w:w="3430" w:type="dxa"/>
            <w:tcBorders>
              <w:top w:val="nil"/>
              <w:left w:val="nil"/>
              <w:bottom w:val="single" w:sz="4" w:space="0" w:color="auto"/>
              <w:right w:val="single" w:sz="4" w:space="0" w:color="auto"/>
            </w:tcBorders>
            <w:shd w:val="clear" w:color="auto" w:fill="auto"/>
            <w:noWrap/>
            <w:vAlign w:val="center"/>
            <w:hideMark/>
          </w:tcPr>
          <w:p w14:paraId="18958C37" w14:textId="77777777" w:rsidR="00293F62" w:rsidRPr="009548E1" w:rsidRDefault="00293F62" w:rsidP="005C7D38">
            <w:pPr>
              <w:rPr>
                <w:sz w:val="16"/>
                <w:szCs w:val="16"/>
              </w:rPr>
            </w:pPr>
            <w:r w:rsidRPr="009548E1">
              <w:rPr>
                <w:sz w:val="16"/>
                <w:szCs w:val="16"/>
              </w:rPr>
              <w:t>Euro-EUR obveznice/XV</w:t>
            </w:r>
          </w:p>
        </w:tc>
        <w:tc>
          <w:tcPr>
            <w:tcW w:w="1417" w:type="dxa"/>
            <w:tcBorders>
              <w:top w:val="nil"/>
              <w:left w:val="nil"/>
              <w:bottom w:val="single" w:sz="4" w:space="0" w:color="auto"/>
              <w:right w:val="single" w:sz="4" w:space="0" w:color="auto"/>
            </w:tcBorders>
            <w:shd w:val="clear" w:color="auto" w:fill="auto"/>
            <w:noWrap/>
            <w:vAlign w:val="center"/>
            <w:hideMark/>
          </w:tcPr>
          <w:p w14:paraId="3C30CE5B" w14:textId="77777777" w:rsidR="00293F62" w:rsidRPr="009548E1" w:rsidRDefault="00293F62" w:rsidP="005C7D38">
            <w:pPr>
              <w:jc w:val="center"/>
              <w:rPr>
                <w:sz w:val="16"/>
                <w:szCs w:val="16"/>
              </w:rPr>
            </w:pPr>
            <w:r w:rsidRPr="009548E1">
              <w:rPr>
                <w:sz w:val="16"/>
                <w:szCs w:val="16"/>
              </w:rPr>
              <w:t>EUR</w:t>
            </w:r>
          </w:p>
        </w:tc>
        <w:tc>
          <w:tcPr>
            <w:tcW w:w="2126" w:type="dxa"/>
            <w:tcBorders>
              <w:top w:val="nil"/>
              <w:left w:val="nil"/>
              <w:bottom w:val="single" w:sz="4" w:space="0" w:color="auto"/>
              <w:right w:val="single" w:sz="4" w:space="0" w:color="auto"/>
            </w:tcBorders>
            <w:shd w:val="clear" w:color="auto" w:fill="auto"/>
            <w:noWrap/>
            <w:vAlign w:val="center"/>
            <w:hideMark/>
          </w:tcPr>
          <w:p w14:paraId="376951A0" w14:textId="77777777" w:rsidR="00293F62" w:rsidRPr="009548E1" w:rsidRDefault="00293F62" w:rsidP="005C7D38">
            <w:pPr>
              <w:jc w:val="right"/>
              <w:rPr>
                <w:sz w:val="16"/>
                <w:szCs w:val="16"/>
              </w:rPr>
            </w:pPr>
            <w:r w:rsidRPr="009548E1">
              <w:rPr>
                <w:sz w:val="16"/>
                <w:szCs w:val="16"/>
              </w:rPr>
              <w:t>2.000.000.000,00</w:t>
            </w:r>
          </w:p>
        </w:tc>
      </w:tr>
      <w:tr w:rsidR="00293F62" w:rsidRPr="009548E1" w14:paraId="55943E14"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A76952" w14:textId="77777777" w:rsidR="00293F62" w:rsidRPr="009548E1" w:rsidRDefault="00293F62" w:rsidP="005C7D38">
            <w:pPr>
              <w:jc w:val="center"/>
              <w:rPr>
                <w:sz w:val="16"/>
                <w:szCs w:val="16"/>
              </w:rPr>
            </w:pPr>
            <w:r w:rsidRPr="009548E1">
              <w:rPr>
                <w:sz w:val="16"/>
                <w:szCs w:val="16"/>
              </w:rPr>
              <w:t>9.</w:t>
            </w:r>
          </w:p>
        </w:tc>
        <w:tc>
          <w:tcPr>
            <w:tcW w:w="3430" w:type="dxa"/>
            <w:tcBorders>
              <w:top w:val="nil"/>
              <w:left w:val="nil"/>
              <w:bottom w:val="single" w:sz="4" w:space="0" w:color="auto"/>
              <w:right w:val="single" w:sz="4" w:space="0" w:color="auto"/>
            </w:tcBorders>
            <w:shd w:val="clear" w:color="auto" w:fill="auto"/>
            <w:noWrap/>
            <w:vAlign w:val="center"/>
            <w:hideMark/>
          </w:tcPr>
          <w:p w14:paraId="178036A6" w14:textId="77777777" w:rsidR="00293F62" w:rsidRPr="009548E1" w:rsidRDefault="00293F62" w:rsidP="005C7D38">
            <w:pPr>
              <w:rPr>
                <w:sz w:val="16"/>
                <w:szCs w:val="16"/>
              </w:rPr>
            </w:pPr>
            <w:r w:rsidRPr="009548E1">
              <w:rPr>
                <w:sz w:val="16"/>
                <w:szCs w:val="16"/>
              </w:rPr>
              <w:t>Euro-EUR obveznice/XVI</w:t>
            </w:r>
          </w:p>
        </w:tc>
        <w:tc>
          <w:tcPr>
            <w:tcW w:w="1417" w:type="dxa"/>
            <w:tcBorders>
              <w:top w:val="nil"/>
              <w:left w:val="nil"/>
              <w:bottom w:val="single" w:sz="4" w:space="0" w:color="auto"/>
              <w:right w:val="single" w:sz="4" w:space="0" w:color="auto"/>
            </w:tcBorders>
            <w:shd w:val="clear" w:color="auto" w:fill="auto"/>
            <w:noWrap/>
            <w:vAlign w:val="center"/>
            <w:hideMark/>
          </w:tcPr>
          <w:p w14:paraId="2CBD3933" w14:textId="77777777" w:rsidR="00293F62" w:rsidRPr="009548E1" w:rsidRDefault="00293F62" w:rsidP="005C7D38">
            <w:pPr>
              <w:jc w:val="center"/>
              <w:rPr>
                <w:sz w:val="16"/>
                <w:szCs w:val="16"/>
              </w:rPr>
            </w:pPr>
            <w:r w:rsidRPr="009548E1">
              <w:rPr>
                <w:sz w:val="16"/>
                <w:szCs w:val="16"/>
              </w:rPr>
              <w:t>EUR</w:t>
            </w:r>
          </w:p>
        </w:tc>
        <w:tc>
          <w:tcPr>
            <w:tcW w:w="2126" w:type="dxa"/>
            <w:tcBorders>
              <w:top w:val="nil"/>
              <w:left w:val="nil"/>
              <w:bottom w:val="single" w:sz="4" w:space="0" w:color="auto"/>
              <w:right w:val="single" w:sz="4" w:space="0" w:color="auto"/>
            </w:tcBorders>
            <w:shd w:val="clear" w:color="auto" w:fill="auto"/>
            <w:noWrap/>
            <w:vAlign w:val="center"/>
            <w:hideMark/>
          </w:tcPr>
          <w:p w14:paraId="72482A86" w14:textId="77777777" w:rsidR="00293F62" w:rsidRPr="009548E1" w:rsidRDefault="00293F62" w:rsidP="005C7D38">
            <w:pPr>
              <w:jc w:val="right"/>
              <w:rPr>
                <w:sz w:val="16"/>
                <w:szCs w:val="16"/>
              </w:rPr>
            </w:pPr>
            <w:r w:rsidRPr="009548E1">
              <w:rPr>
                <w:sz w:val="16"/>
                <w:szCs w:val="16"/>
              </w:rPr>
              <w:t>1.000.000.000,00</w:t>
            </w:r>
          </w:p>
        </w:tc>
      </w:tr>
      <w:tr w:rsidR="00293F62" w:rsidRPr="009548E1" w14:paraId="5AE1DA33" w14:textId="77777777" w:rsidTr="005C7D3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1E7895" w14:textId="77777777" w:rsidR="00293F62" w:rsidRPr="009548E1" w:rsidRDefault="00293F62" w:rsidP="005C7D38">
            <w:pPr>
              <w:jc w:val="center"/>
              <w:rPr>
                <w:sz w:val="16"/>
                <w:szCs w:val="16"/>
              </w:rPr>
            </w:pPr>
            <w:r w:rsidRPr="009548E1">
              <w:rPr>
                <w:sz w:val="16"/>
                <w:szCs w:val="16"/>
              </w:rPr>
              <w:t>10.</w:t>
            </w:r>
          </w:p>
        </w:tc>
        <w:tc>
          <w:tcPr>
            <w:tcW w:w="3430" w:type="dxa"/>
            <w:tcBorders>
              <w:top w:val="nil"/>
              <w:left w:val="nil"/>
              <w:bottom w:val="single" w:sz="4" w:space="0" w:color="auto"/>
              <w:right w:val="single" w:sz="4" w:space="0" w:color="auto"/>
            </w:tcBorders>
            <w:shd w:val="clear" w:color="auto" w:fill="auto"/>
            <w:noWrap/>
            <w:vAlign w:val="center"/>
            <w:hideMark/>
          </w:tcPr>
          <w:p w14:paraId="3304B483" w14:textId="77777777" w:rsidR="00293F62" w:rsidRPr="009548E1" w:rsidRDefault="00293F62" w:rsidP="005C7D38">
            <w:pPr>
              <w:rPr>
                <w:sz w:val="16"/>
                <w:szCs w:val="16"/>
              </w:rPr>
            </w:pPr>
            <w:r w:rsidRPr="009548E1">
              <w:rPr>
                <w:sz w:val="16"/>
                <w:szCs w:val="16"/>
              </w:rPr>
              <w:t>Euro-EUR obveznice/XVII</w:t>
            </w:r>
          </w:p>
        </w:tc>
        <w:tc>
          <w:tcPr>
            <w:tcW w:w="1417" w:type="dxa"/>
            <w:tcBorders>
              <w:top w:val="nil"/>
              <w:left w:val="nil"/>
              <w:bottom w:val="single" w:sz="4" w:space="0" w:color="auto"/>
              <w:right w:val="single" w:sz="4" w:space="0" w:color="auto"/>
            </w:tcBorders>
            <w:shd w:val="clear" w:color="auto" w:fill="auto"/>
            <w:noWrap/>
            <w:vAlign w:val="center"/>
            <w:hideMark/>
          </w:tcPr>
          <w:p w14:paraId="568DCAE6" w14:textId="77777777" w:rsidR="00293F62" w:rsidRPr="009548E1" w:rsidRDefault="00293F62" w:rsidP="005C7D38">
            <w:pPr>
              <w:jc w:val="center"/>
              <w:rPr>
                <w:sz w:val="16"/>
                <w:szCs w:val="16"/>
              </w:rPr>
            </w:pPr>
            <w:r w:rsidRPr="009548E1">
              <w:rPr>
                <w:sz w:val="16"/>
                <w:szCs w:val="16"/>
              </w:rPr>
              <w:t>EUR</w:t>
            </w:r>
          </w:p>
        </w:tc>
        <w:tc>
          <w:tcPr>
            <w:tcW w:w="2126" w:type="dxa"/>
            <w:tcBorders>
              <w:top w:val="nil"/>
              <w:left w:val="nil"/>
              <w:bottom w:val="single" w:sz="4" w:space="0" w:color="auto"/>
              <w:right w:val="single" w:sz="4" w:space="0" w:color="auto"/>
            </w:tcBorders>
            <w:shd w:val="clear" w:color="auto" w:fill="auto"/>
            <w:noWrap/>
            <w:vAlign w:val="center"/>
            <w:hideMark/>
          </w:tcPr>
          <w:p w14:paraId="18ADB412" w14:textId="77777777" w:rsidR="00293F62" w:rsidRPr="009548E1" w:rsidRDefault="00293F62" w:rsidP="005C7D38">
            <w:pPr>
              <w:jc w:val="right"/>
              <w:rPr>
                <w:sz w:val="16"/>
                <w:szCs w:val="16"/>
              </w:rPr>
            </w:pPr>
            <w:r w:rsidRPr="009548E1">
              <w:rPr>
                <w:sz w:val="16"/>
                <w:szCs w:val="16"/>
              </w:rPr>
              <w:t>1.000.000.000,00</w:t>
            </w:r>
          </w:p>
        </w:tc>
      </w:tr>
      <w:tr w:rsidR="00293F62" w:rsidRPr="009548E1" w14:paraId="39BF5E93" w14:textId="77777777" w:rsidTr="005C7D3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7CB131" w14:textId="77777777" w:rsidR="00293F62" w:rsidRPr="009548E1" w:rsidRDefault="00293F62" w:rsidP="005C7D38">
            <w:pPr>
              <w:jc w:val="center"/>
              <w:rPr>
                <w:sz w:val="16"/>
                <w:szCs w:val="16"/>
              </w:rPr>
            </w:pPr>
            <w:r w:rsidRPr="009548E1">
              <w:rPr>
                <w:sz w:val="16"/>
                <w:szCs w:val="16"/>
              </w:rPr>
              <w:t>11.</w:t>
            </w:r>
          </w:p>
        </w:tc>
        <w:tc>
          <w:tcPr>
            <w:tcW w:w="3430" w:type="dxa"/>
            <w:tcBorders>
              <w:top w:val="nil"/>
              <w:left w:val="nil"/>
              <w:bottom w:val="single" w:sz="4" w:space="0" w:color="auto"/>
              <w:right w:val="single" w:sz="4" w:space="0" w:color="auto"/>
            </w:tcBorders>
            <w:shd w:val="clear" w:color="auto" w:fill="auto"/>
            <w:noWrap/>
            <w:vAlign w:val="center"/>
            <w:hideMark/>
          </w:tcPr>
          <w:p w14:paraId="3BA67666" w14:textId="77777777" w:rsidR="00293F62" w:rsidRPr="009548E1" w:rsidRDefault="00293F62" w:rsidP="005C7D38">
            <w:pPr>
              <w:rPr>
                <w:sz w:val="16"/>
                <w:szCs w:val="16"/>
              </w:rPr>
            </w:pPr>
            <w:r w:rsidRPr="009548E1">
              <w:rPr>
                <w:sz w:val="16"/>
                <w:szCs w:val="16"/>
              </w:rPr>
              <w:t>Euro-EUR obveznice/XVIII</w:t>
            </w:r>
          </w:p>
        </w:tc>
        <w:tc>
          <w:tcPr>
            <w:tcW w:w="1417" w:type="dxa"/>
            <w:tcBorders>
              <w:top w:val="nil"/>
              <w:left w:val="nil"/>
              <w:bottom w:val="single" w:sz="4" w:space="0" w:color="auto"/>
              <w:right w:val="single" w:sz="4" w:space="0" w:color="auto"/>
            </w:tcBorders>
            <w:shd w:val="clear" w:color="auto" w:fill="auto"/>
            <w:noWrap/>
            <w:vAlign w:val="center"/>
            <w:hideMark/>
          </w:tcPr>
          <w:p w14:paraId="7C18F979" w14:textId="77777777" w:rsidR="00293F62" w:rsidRPr="009548E1" w:rsidRDefault="00293F62" w:rsidP="005C7D38">
            <w:pPr>
              <w:jc w:val="center"/>
              <w:rPr>
                <w:sz w:val="16"/>
                <w:szCs w:val="16"/>
              </w:rPr>
            </w:pPr>
            <w:r w:rsidRPr="009548E1">
              <w:rPr>
                <w:sz w:val="16"/>
                <w:szCs w:val="16"/>
              </w:rPr>
              <w:t>EUR</w:t>
            </w:r>
          </w:p>
        </w:tc>
        <w:tc>
          <w:tcPr>
            <w:tcW w:w="2126" w:type="dxa"/>
            <w:tcBorders>
              <w:top w:val="nil"/>
              <w:left w:val="nil"/>
              <w:bottom w:val="single" w:sz="4" w:space="0" w:color="auto"/>
              <w:right w:val="single" w:sz="4" w:space="0" w:color="auto"/>
            </w:tcBorders>
            <w:shd w:val="clear" w:color="auto" w:fill="auto"/>
            <w:noWrap/>
            <w:vAlign w:val="center"/>
            <w:hideMark/>
          </w:tcPr>
          <w:p w14:paraId="65278FAA" w14:textId="77777777" w:rsidR="00293F62" w:rsidRPr="009548E1" w:rsidRDefault="00293F62" w:rsidP="005C7D38">
            <w:pPr>
              <w:jc w:val="right"/>
              <w:rPr>
                <w:sz w:val="16"/>
                <w:szCs w:val="16"/>
              </w:rPr>
            </w:pPr>
            <w:r w:rsidRPr="009548E1">
              <w:rPr>
                <w:sz w:val="16"/>
                <w:szCs w:val="16"/>
              </w:rPr>
              <w:t>1.250.000.000,00</w:t>
            </w:r>
          </w:p>
        </w:tc>
      </w:tr>
      <w:tr w:rsidR="00293F62" w:rsidRPr="009548E1" w14:paraId="0E60B89B" w14:textId="77777777" w:rsidTr="005C7D38">
        <w:trPr>
          <w:trHeight w:val="330"/>
          <w:jc w:val="center"/>
        </w:trPr>
        <w:tc>
          <w:tcPr>
            <w:tcW w:w="96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7D9C03DE" w14:textId="77777777" w:rsidR="00293F62" w:rsidRPr="009548E1" w:rsidRDefault="00293F62" w:rsidP="005C7D38">
            <w:pPr>
              <w:jc w:val="center"/>
              <w:rPr>
                <w:sz w:val="16"/>
                <w:szCs w:val="16"/>
              </w:rPr>
            </w:pPr>
            <w:r w:rsidRPr="009548E1">
              <w:rPr>
                <w:sz w:val="16"/>
                <w:szCs w:val="16"/>
              </w:rPr>
              <w:t> </w:t>
            </w:r>
          </w:p>
        </w:tc>
        <w:tc>
          <w:tcPr>
            <w:tcW w:w="3430" w:type="dxa"/>
            <w:tcBorders>
              <w:top w:val="double" w:sz="6" w:space="0" w:color="auto"/>
              <w:left w:val="nil"/>
              <w:bottom w:val="double" w:sz="6" w:space="0" w:color="auto"/>
              <w:right w:val="double" w:sz="6" w:space="0" w:color="auto"/>
            </w:tcBorders>
            <w:shd w:val="clear" w:color="auto" w:fill="auto"/>
            <w:noWrap/>
            <w:vAlign w:val="center"/>
            <w:hideMark/>
          </w:tcPr>
          <w:p w14:paraId="654D4D03" w14:textId="77777777" w:rsidR="00293F62" w:rsidRPr="009548E1" w:rsidRDefault="00293F62" w:rsidP="005C7D38">
            <w:pPr>
              <w:rPr>
                <w:b/>
                <w:bCs/>
                <w:sz w:val="16"/>
                <w:szCs w:val="16"/>
              </w:rPr>
            </w:pPr>
            <w:r w:rsidRPr="009548E1">
              <w:rPr>
                <w:b/>
                <w:bCs/>
                <w:sz w:val="16"/>
                <w:szCs w:val="16"/>
              </w:rPr>
              <w:t>Ukupno:</w:t>
            </w:r>
          </w:p>
        </w:tc>
        <w:tc>
          <w:tcPr>
            <w:tcW w:w="1417" w:type="dxa"/>
            <w:tcBorders>
              <w:top w:val="double" w:sz="6" w:space="0" w:color="auto"/>
              <w:left w:val="nil"/>
              <w:bottom w:val="double" w:sz="6" w:space="0" w:color="auto"/>
              <w:right w:val="double" w:sz="6" w:space="0" w:color="auto"/>
            </w:tcBorders>
            <w:shd w:val="clear" w:color="auto" w:fill="auto"/>
            <w:noWrap/>
            <w:vAlign w:val="center"/>
            <w:hideMark/>
          </w:tcPr>
          <w:p w14:paraId="6190658C" w14:textId="77777777" w:rsidR="00293F62" w:rsidRPr="009548E1" w:rsidRDefault="00293F62" w:rsidP="005C7D38">
            <w:pPr>
              <w:jc w:val="center"/>
              <w:rPr>
                <w:b/>
                <w:bCs/>
                <w:sz w:val="16"/>
                <w:szCs w:val="16"/>
              </w:rPr>
            </w:pPr>
            <w:r w:rsidRPr="009548E1">
              <w:rPr>
                <w:b/>
                <w:bCs/>
                <w:sz w:val="16"/>
                <w:szCs w:val="16"/>
              </w:rPr>
              <w:t>EUR</w:t>
            </w:r>
          </w:p>
        </w:tc>
        <w:tc>
          <w:tcPr>
            <w:tcW w:w="2126" w:type="dxa"/>
            <w:tcBorders>
              <w:top w:val="double" w:sz="6" w:space="0" w:color="auto"/>
              <w:left w:val="nil"/>
              <w:bottom w:val="double" w:sz="6" w:space="0" w:color="auto"/>
              <w:right w:val="double" w:sz="6" w:space="0" w:color="auto"/>
            </w:tcBorders>
            <w:shd w:val="clear" w:color="auto" w:fill="auto"/>
            <w:noWrap/>
            <w:vAlign w:val="center"/>
            <w:hideMark/>
          </w:tcPr>
          <w:p w14:paraId="7B94968E" w14:textId="77777777" w:rsidR="00293F62" w:rsidRPr="009548E1" w:rsidRDefault="00293F62" w:rsidP="005C7D38">
            <w:pPr>
              <w:jc w:val="right"/>
              <w:rPr>
                <w:b/>
                <w:bCs/>
                <w:sz w:val="16"/>
                <w:szCs w:val="16"/>
              </w:rPr>
            </w:pPr>
            <w:r w:rsidRPr="009548E1">
              <w:rPr>
                <w:b/>
                <w:bCs/>
                <w:sz w:val="16"/>
                <w:szCs w:val="16"/>
              </w:rPr>
              <w:t>14.322.257.227,58</w:t>
            </w:r>
          </w:p>
        </w:tc>
      </w:tr>
    </w:tbl>
    <w:p w14:paraId="2F96BEE4" w14:textId="77777777" w:rsidR="00293F62" w:rsidRPr="009548E1" w:rsidRDefault="00293F62" w:rsidP="00293F62">
      <w:pPr>
        <w:keepNext/>
        <w:jc w:val="both"/>
        <w:rPr>
          <w:b/>
          <w:sz w:val="20"/>
          <w:szCs w:val="20"/>
        </w:rPr>
      </w:pPr>
    </w:p>
    <w:p w14:paraId="45260D97" w14:textId="77777777" w:rsidR="00293F62" w:rsidRPr="009548E1" w:rsidRDefault="00293F62" w:rsidP="00293F62">
      <w:pPr>
        <w:spacing w:after="120"/>
        <w:jc w:val="both"/>
      </w:pPr>
      <w:r w:rsidRPr="009548E1">
        <w:rPr>
          <w:rFonts w:eastAsia="Calibri"/>
        </w:rPr>
        <w:t xml:space="preserve">Republika Hrvatska, zastupana po Ministarstvu financija, realizirala je na međunarodnom financijskom tržištu izdanje </w:t>
      </w:r>
      <w:proofErr w:type="spellStart"/>
      <w:r w:rsidRPr="009548E1">
        <w:rPr>
          <w:rFonts w:eastAsia="Calibri"/>
        </w:rPr>
        <w:t>euroobveznica</w:t>
      </w:r>
      <w:proofErr w:type="spellEnd"/>
      <w:r w:rsidRPr="009548E1">
        <w:rPr>
          <w:rFonts w:eastAsia="Calibri"/>
        </w:rPr>
        <w:t xml:space="preserve">, koje dospijevaju 2035. godine u nominalnom iznosu od 1,50 milijardi eura. Ovo izdanje obveznica realizirano je po cijeni od 99,560% i godišnju kamatnu stopu od 4,00%. </w:t>
      </w:r>
      <w:r w:rsidRPr="009548E1">
        <w:t>Voditelji izdanja bili su BNP Paribas, J.P. Morgan SE, Raiffeisen Bank International AG.</w:t>
      </w:r>
    </w:p>
    <w:p w14:paraId="5FE42EBF" w14:textId="77777777" w:rsidR="00293F62" w:rsidRPr="009548E1" w:rsidRDefault="00293F62" w:rsidP="00293F62">
      <w:pPr>
        <w:keepNext/>
        <w:jc w:val="center"/>
        <w:rPr>
          <w:sz w:val="28"/>
        </w:rPr>
      </w:pPr>
    </w:p>
    <w:p w14:paraId="4FE24DDF" w14:textId="77777777" w:rsidR="00293F62" w:rsidRPr="009548E1" w:rsidRDefault="00293F62" w:rsidP="00293F62">
      <w:pPr>
        <w:jc w:val="center"/>
      </w:pPr>
      <w:r>
        <w:rPr>
          <w:bCs/>
          <w:sz w:val="28"/>
          <w:szCs w:val="28"/>
        </w:rPr>
        <w:t>Bilješka 24</w:t>
      </w:r>
      <w:r w:rsidRPr="009548E1">
        <w:rPr>
          <w:bCs/>
          <w:sz w:val="28"/>
          <w:szCs w:val="28"/>
        </w:rPr>
        <w:t>.</w:t>
      </w:r>
    </w:p>
    <w:p w14:paraId="37D240D9" w14:textId="77777777" w:rsidR="00293F62" w:rsidRPr="009548E1" w:rsidRDefault="00293F62" w:rsidP="00293F62">
      <w:pPr>
        <w:spacing w:after="240"/>
        <w:jc w:val="center"/>
      </w:pPr>
      <w:r w:rsidRPr="009548E1">
        <w:rPr>
          <w:sz w:val="28"/>
          <w:szCs w:val="28"/>
        </w:rPr>
        <w:t>Šifra 2622 Obveze za kredite od kreditnih institucija u javnom sektoru</w:t>
      </w:r>
    </w:p>
    <w:p w14:paraId="180EA0B2" w14:textId="77777777" w:rsidR="00293F62" w:rsidRPr="009548E1" w:rsidRDefault="00293F62" w:rsidP="00293F62">
      <w:pPr>
        <w:jc w:val="both"/>
      </w:pPr>
      <w:r w:rsidRPr="009548E1">
        <w:t>Stanje obveza za kredite od kreditnih institucija u javnom sektoru na dan 31. prosinca 2023. godine iznosi 237.900.621,72 eura</w:t>
      </w:r>
      <w:r w:rsidRPr="009548E1">
        <w:rPr>
          <w:bCs/>
        </w:rPr>
        <w:t xml:space="preserve"> </w:t>
      </w:r>
      <w:r w:rsidRPr="009548E1">
        <w:t xml:space="preserve">dok su na dan 1. siječnja 2023. iznosile 269.353.454,52 eura. </w:t>
      </w:r>
    </w:p>
    <w:p w14:paraId="04379AAB" w14:textId="77777777" w:rsidR="00293F62" w:rsidRPr="009548E1" w:rsidRDefault="00293F62" w:rsidP="00293F62">
      <w:pPr>
        <w:jc w:val="both"/>
      </w:pPr>
      <w:r w:rsidRPr="009548E1">
        <w:t>Analitika obveza za kredite od kreditnih institucija u javnom sektoru u iznosu od 237.900.</w:t>
      </w:r>
      <w:r>
        <w:t>621,72 eura daje se u Tablici 10</w:t>
      </w:r>
      <w:r w:rsidRPr="009548E1">
        <w:t xml:space="preserve">. </w:t>
      </w:r>
    </w:p>
    <w:p w14:paraId="643548F7" w14:textId="77777777" w:rsidR="00293F62" w:rsidRPr="009548E1" w:rsidRDefault="00293F62" w:rsidP="00293F62">
      <w:pPr>
        <w:keepNext/>
        <w:jc w:val="both"/>
        <w:rPr>
          <w:b/>
          <w:sz w:val="20"/>
          <w:szCs w:val="20"/>
        </w:rPr>
      </w:pPr>
    </w:p>
    <w:p w14:paraId="6B3D2A6F" w14:textId="77777777" w:rsidR="00293F62" w:rsidRPr="009548E1" w:rsidRDefault="00293F62" w:rsidP="00293F62">
      <w:pPr>
        <w:keepNext/>
        <w:jc w:val="both"/>
        <w:rPr>
          <w:b/>
          <w:sz w:val="20"/>
          <w:szCs w:val="20"/>
        </w:rPr>
      </w:pPr>
      <w:r>
        <w:rPr>
          <w:b/>
          <w:sz w:val="20"/>
          <w:szCs w:val="20"/>
        </w:rPr>
        <w:t xml:space="preserve">Tablica </w:t>
      </w:r>
      <w:r w:rsidRPr="009548E1">
        <w:rPr>
          <w:b/>
          <w:sz w:val="20"/>
          <w:szCs w:val="20"/>
        </w:rPr>
        <w:t>1</w:t>
      </w:r>
      <w:r>
        <w:rPr>
          <w:b/>
          <w:sz w:val="20"/>
          <w:szCs w:val="20"/>
        </w:rPr>
        <w:t>0</w:t>
      </w:r>
      <w:r w:rsidRPr="009548E1">
        <w:rPr>
          <w:b/>
          <w:sz w:val="20"/>
          <w:szCs w:val="20"/>
        </w:rPr>
        <w:t xml:space="preserve">. </w:t>
      </w:r>
      <w:r>
        <w:rPr>
          <w:b/>
          <w:sz w:val="20"/>
          <w:szCs w:val="20"/>
        </w:rPr>
        <w:t>Pregled obveza za kredite od kreditnih institucija u javnom sektoru</w:t>
      </w:r>
    </w:p>
    <w:tbl>
      <w:tblPr>
        <w:tblW w:w="8359" w:type="dxa"/>
        <w:jc w:val="center"/>
        <w:tblLook w:val="04A0" w:firstRow="1" w:lastRow="0" w:firstColumn="1" w:lastColumn="0" w:noHBand="0" w:noVBand="1"/>
      </w:tblPr>
      <w:tblGrid>
        <w:gridCol w:w="910"/>
        <w:gridCol w:w="4047"/>
        <w:gridCol w:w="992"/>
        <w:gridCol w:w="850"/>
        <w:gridCol w:w="1560"/>
      </w:tblGrid>
      <w:tr w:rsidR="00293F62" w:rsidRPr="009548E1" w14:paraId="0F4C2E3D" w14:textId="77777777" w:rsidTr="005C7D38">
        <w:trPr>
          <w:trHeight w:val="420"/>
          <w:jc w:val="center"/>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1C416" w14:textId="77777777" w:rsidR="00293F62" w:rsidRPr="009548E1" w:rsidRDefault="00293F62" w:rsidP="005C7D38">
            <w:pPr>
              <w:jc w:val="center"/>
              <w:rPr>
                <w:b/>
                <w:bCs/>
                <w:sz w:val="20"/>
                <w:szCs w:val="20"/>
              </w:rPr>
            </w:pPr>
            <w:r w:rsidRPr="009548E1">
              <w:rPr>
                <w:b/>
                <w:bCs/>
                <w:sz w:val="20"/>
                <w:szCs w:val="20"/>
              </w:rPr>
              <w:t>Red. broj</w:t>
            </w:r>
          </w:p>
        </w:tc>
        <w:tc>
          <w:tcPr>
            <w:tcW w:w="4047" w:type="dxa"/>
            <w:tcBorders>
              <w:top w:val="single" w:sz="4" w:space="0" w:color="auto"/>
              <w:left w:val="nil"/>
              <w:bottom w:val="single" w:sz="4" w:space="0" w:color="auto"/>
              <w:right w:val="single" w:sz="4" w:space="0" w:color="auto"/>
            </w:tcBorders>
            <w:shd w:val="clear" w:color="auto" w:fill="auto"/>
            <w:noWrap/>
            <w:vAlign w:val="center"/>
            <w:hideMark/>
          </w:tcPr>
          <w:p w14:paraId="071C38DE" w14:textId="77777777" w:rsidR="00293F62" w:rsidRPr="009548E1" w:rsidRDefault="00293F62" w:rsidP="005C7D38">
            <w:pPr>
              <w:jc w:val="center"/>
              <w:rPr>
                <w:b/>
                <w:bCs/>
                <w:sz w:val="20"/>
                <w:szCs w:val="20"/>
              </w:rPr>
            </w:pPr>
            <w:r w:rsidRPr="009548E1">
              <w:rPr>
                <w:b/>
                <w:bCs/>
                <w:sz w:val="20"/>
                <w:szCs w:val="20"/>
              </w:rPr>
              <w:t>Namjena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BE4AF4" w14:textId="77777777" w:rsidR="00293F62" w:rsidRPr="009548E1" w:rsidRDefault="00293F62" w:rsidP="005C7D38">
            <w:pPr>
              <w:jc w:val="center"/>
              <w:rPr>
                <w:b/>
                <w:bCs/>
                <w:sz w:val="20"/>
                <w:szCs w:val="20"/>
              </w:rPr>
            </w:pPr>
            <w:r w:rsidRPr="009548E1">
              <w:rPr>
                <w:b/>
                <w:bCs/>
                <w:sz w:val="20"/>
                <w:szCs w:val="20"/>
              </w:rPr>
              <w:t>Banka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4E5637" w14:textId="77777777" w:rsidR="00293F62" w:rsidRPr="009548E1" w:rsidRDefault="00293F62" w:rsidP="005C7D38">
            <w:pPr>
              <w:jc w:val="center"/>
              <w:rPr>
                <w:b/>
                <w:bCs/>
                <w:sz w:val="20"/>
                <w:szCs w:val="20"/>
              </w:rPr>
            </w:pPr>
            <w:r w:rsidRPr="009548E1">
              <w:rPr>
                <w:b/>
                <w:bCs/>
                <w:sz w:val="20"/>
                <w:szCs w:val="20"/>
              </w:rPr>
              <w:t>Valuta</w:t>
            </w:r>
          </w:p>
        </w:tc>
        <w:tc>
          <w:tcPr>
            <w:tcW w:w="1560" w:type="dxa"/>
            <w:tcBorders>
              <w:top w:val="single" w:sz="4" w:space="0" w:color="auto"/>
              <w:left w:val="nil"/>
              <w:bottom w:val="nil"/>
              <w:right w:val="single" w:sz="4" w:space="0" w:color="auto"/>
            </w:tcBorders>
            <w:shd w:val="clear" w:color="auto" w:fill="auto"/>
            <w:vAlign w:val="center"/>
            <w:hideMark/>
          </w:tcPr>
          <w:p w14:paraId="7B4E8B8A" w14:textId="77777777" w:rsidR="00293F62" w:rsidRPr="009548E1" w:rsidRDefault="00293F62" w:rsidP="005C7D38">
            <w:pPr>
              <w:jc w:val="center"/>
              <w:rPr>
                <w:b/>
                <w:bCs/>
                <w:sz w:val="20"/>
                <w:szCs w:val="20"/>
              </w:rPr>
            </w:pPr>
            <w:r w:rsidRPr="009548E1">
              <w:rPr>
                <w:b/>
                <w:bCs/>
                <w:sz w:val="20"/>
                <w:szCs w:val="20"/>
              </w:rPr>
              <w:t xml:space="preserve">Stanje obveza na 31.12.2023. </w:t>
            </w:r>
          </w:p>
        </w:tc>
      </w:tr>
      <w:tr w:rsidR="00293F62" w:rsidRPr="009548E1" w14:paraId="38BF3AE3" w14:textId="77777777" w:rsidTr="005C7D38">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8968C6F" w14:textId="77777777" w:rsidR="00293F62" w:rsidRPr="009548E1" w:rsidRDefault="00293F62" w:rsidP="005C7D38">
            <w:pPr>
              <w:jc w:val="center"/>
              <w:rPr>
                <w:sz w:val="16"/>
                <w:szCs w:val="16"/>
              </w:rPr>
            </w:pPr>
            <w:r w:rsidRPr="009548E1">
              <w:rPr>
                <w:sz w:val="16"/>
                <w:szCs w:val="16"/>
              </w:rPr>
              <w:t>1.</w:t>
            </w:r>
          </w:p>
        </w:tc>
        <w:tc>
          <w:tcPr>
            <w:tcW w:w="4047" w:type="dxa"/>
            <w:tcBorders>
              <w:top w:val="nil"/>
              <w:left w:val="nil"/>
              <w:bottom w:val="single" w:sz="4" w:space="0" w:color="auto"/>
              <w:right w:val="single" w:sz="4" w:space="0" w:color="auto"/>
            </w:tcBorders>
            <w:shd w:val="clear" w:color="auto" w:fill="auto"/>
            <w:noWrap/>
            <w:vAlign w:val="center"/>
            <w:hideMark/>
          </w:tcPr>
          <w:p w14:paraId="429679F5" w14:textId="77777777" w:rsidR="00293F62" w:rsidRPr="009548E1" w:rsidRDefault="00293F62" w:rsidP="005C7D38">
            <w:pPr>
              <w:rPr>
                <w:sz w:val="16"/>
                <w:szCs w:val="16"/>
              </w:rPr>
            </w:pPr>
            <w:r w:rsidRPr="009548E1">
              <w:rPr>
                <w:sz w:val="16"/>
                <w:szCs w:val="16"/>
              </w:rPr>
              <w:t>Hrvatske vode KO-09/12 - projekt navodnjavanja</w:t>
            </w:r>
          </w:p>
        </w:tc>
        <w:tc>
          <w:tcPr>
            <w:tcW w:w="992" w:type="dxa"/>
            <w:tcBorders>
              <w:top w:val="nil"/>
              <w:left w:val="nil"/>
              <w:bottom w:val="single" w:sz="4" w:space="0" w:color="auto"/>
              <w:right w:val="single" w:sz="4" w:space="0" w:color="auto"/>
            </w:tcBorders>
            <w:shd w:val="clear" w:color="auto" w:fill="auto"/>
            <w:noWrap/>
            <w:vAlign w:val="center"/>
            <w:hideMark/>
          </w:tcPr>
          <w:p w14:paraId="21D17AC1" w14:textId="77777777" w:rsidR="00293F62" w:rsidRPr="009548E1" w:rsidRDefault="00293F62" w:rsidP="005C7D38">
            <w:pPr>
              <w:jc w:val="center"/>
              <w:rPr>
                <w:sz w:val="16"/>
                <w:szCs w:val="16"/>
              </w:rPr>
            </w:pPr>
            <w:r w:rsidRPr="009548E1">
              <w:rPr>
                <w:sz w:val="16"/>
                <w:szCs w:val="16"/>
              </w:rPr>
              <w:t>HBOR</w:t>
            </w:r>
          </w:p>
        </w:tc>
        <w:tc>
          <w:tcPr>
            <w:tcW w:w="850" w:type="dxa"/>
            <w:tcBorders>
              <w:top w:val="nil"/>
              <w:left w:val="nil"/>
              <w:bottom w:val="nil"/>
              <w:right w:val="single" w:sz="4" w:space="0" w:color="auto"/>
            </w:tcBorders>
            <w:shd w:val="clear" w:color="auto" w:fill="auto"/>
            <w:noWrap/>
            <w:vAlign w:val="center"/>
            <w:hideMark/>
          </w:tcPr>
          <w:p w14:paraId="7C5F1447" w14:textId="77777777" w:rsidR="00293F62" w:rsidRPr="009548E1" w:rsidRDefault="00293F62" w:rsidP="005C7D38">
            <w:pPr>
              <w:jc w:val="center"/>
              <w:rPr>
                <w:sz w:val="16"/>
                <w:szCs w:val="16"/>
              </w:rPr>
            </w:pPr>
            <w:r w:rsidRPr="009548E1">
              <w:rPr>
                <w:sz w:val="16"/>
                <w:szCs w:val="16"/>
              </w:rPr>
              <w:t>EUR</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699E3A6" w14:textId="77777777" w:rsidR="00293F62" w:rsidRPr="009548E1" w:rsidRDefault="00293F62" w:rsidP="005C7D38">
            <w:pPr>
              <w:jc w:val="right"/>
              <w:rPr>
                <w:sz w:val="16"/>
                <w:szCs w:val="16"/>
              </w:rPr>
            </w:pPr>
            <w:r w:rsidRPr="009548E1">
              <w:rPr>
                <w:sz w:val="16"/>
                <w:szCs w:val="16"/>
              </w:rPr>
              <w:t>4.180.768,57</w:t>
            </w:r>
          </w:p>
        </w:tc>
      </w:tr>
      <w:tr w:rsidR="00293F62" w:rsidRPr="009548E1" w14:paraId="6FBC4CDE" w14:textId="77777777" w:rsidTr="005C7D38">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1B42D94E" w14:textId="77777777" w:rsidR="00293F62" w:rsidRPr="009548E1" w:rsidRDefault="00293F62" w:rsidP="005C7D38">
            <w:pPr>
              <w:jc w:val="center"/>
              <w:rPr>
                <w:sz w:val="16"/>
                <w:szCs w:val="16"/>
              </w:rPr>
            </w:pPr>
            <w:r w:rsidRPr="009548E1">
              <w:rPr>
                <w:sz w:val="16"/>
                <w:szCs w:val="16"/>
              </w:rPr>
              <w:t>2.</w:t>
            </w:r>
          </w:p>
        </w:tc>
        <w:tc>
          <w:tcPr>
            <w:tcW w:w="4047" w:type="dxa"/>
            <w:tcBorders>
              <w:top w:val="nil"/>
              <w:left w:val="nil"/>
              <w:bottom w:val="nil"/>
              <w:right w:val="single" w:sz="4" w:space="0" w:color="auto"/>
            </w:tcBorders>
            <w:shd w:val="clear" w:color="auto" w:fill="auto"/>
            <w:noWrap/>
            <w:vAlign w:val="center"/>
            <w:hideMark/>
          </w:tcPr>
          <w:p w14:paraId="6E9739B5" w14:textId="77777777" w:rsidR="00293F62" w:rsidRPr="009548E1" w:rsidRDefault="00293F62" w:rsidP="005C7D38">
            <w:pPr>
              <w:rPr>
                <w:sz w:val="16"/>
                <w:szCs w:val="16"/>
              </w:rPr>
            </w:pPr>
            <w:r w:rsidRPr="009548E1">
              <w:rPr>
                <w:sz w:val="16"/>
                <w:szCs w:val="16"/>
              </w:rPr>
              <w:t>HŽ Putnički prijevoz F-001-14 preuzeto 2015.</w:t>
            </w:r>
          </w:p>
        </w:tc>
        <w:tc>
          <w:tcPr>
            <w:tcW w:w="992" w:type="dxa"/>
            <w:tcBorders>
              <w:top w:val="nil"/>
              <w:left w:val="nil"/>
              <w:bottom w:val="nil"/>
              <w:right w:val="single" w:sz="4" w:space="0" w:color="auto"/>
            </w:tcBorders>
            <w:shd w:val="clear" w:color="auto" w:fill="auto"/>
            <w:noWrap/>
            <w:vAlign w:val="center"/>
            <w:hideMark/>
          </w:tcPr>
          <w:p w14:paraId="3A8DD3AF" w14:textId="77777777" w:rsidR="00293F62" w:rsidRPr="009548E1" w:rsidRDefault="00293F62" w:rsidP="005C7D38">
            <w:pPr>
              <w:jc w:val="center"/>
              <w:rPr>
                <w:sz w:val="16"/>
                <w:szCs w:val="16"/>
              </w:rPr>
            </w:pPr>
            <w:r w:rsidRPr="009548E1">
              <w:rPr>
                <w:sz w:val="16"/>
                <w:szCs w:val="16"/>
              </w:rPr>
              <w:t>HBOR</w:t>
            </w:r>
          </w:p>
        </w:tc>
        <w:tc>
          <w:tcPr>
            <w:tcW w:w="850" w:type="dxa"/>
            <w:tcBorders>
              <w:top w:val="single" w:sz="4" w:space="0" w:color="auto"/>
              <w:left w:val="nil"/>
              <w:bottom w:val="nil"/>
              <w:right w:val="single" w:sz="4" w:space="0" w:color="auto"/>
            </w:tcBorders>
            <w:shd w:val="clear" w:color="auto" w:fill="auto"/>
            <w:noWrap/>
            <w:vAlign w:val="center"/>
            <w:hideMark/>
          </w:tcPr>
          <w:p w14:paraId="6DFEAF06" w14:textId="77777777" w:rsidR="00293F62" w:rsidRPr="009548E1" w:rsidRDefault="00293F62" w:rsidP="005C7D38">
            <w:pPr>
              <w:jc w:val="center"/>
              <w:rPr>
                <w:sz w:val="16"/>
                <w:szCs w:val="16"/>
              </w:rPr>
            </w:pPr>
            <w:r w:rsidRPr="009548E1">
              <w:rPr>
                <w:sz w:val="16"/>
                <w:szCs w:val="16"/>
              </w:rPr>
              <w:t>EUR</w:t>
            </w:r>
          </w:p>
        </w:tc>
        <w:tc>
          <w:tcPr>
            <w:tcW w:w="1560" w:type="dxa"/>
            <w:tcBorders>
              <w:top w:val="nil"/>
              <w:left w:val="nil"/>
              <w:bottom w:val="nil"/>
              <w:right w:val="single" w:sz="4" w:space="0" w:color="auto"/>
            </w:tcBorders>
            <w:shd w:val="clear" w:color="auto" w:fill="auto"/>
            <w:noWrap/>
            <w:vAlign w:val="center"/>
            <w:hideMark/>
          </w:tcPr>
          <w:p w14:paraId="5E8D59D6" w14:textId="77777777" w:rsidR="00293F62" w:rsidRPr="009548E1" w:rsidRDefault="00293F62" w:rsidP="005C7D38">
            <w:pPr>
              <w:jc w:val="right"/>
              <w:rPr>
                <w:sz w:val="16"/>
                <w:szCs w:val="16"/>
              </w:rPr>
            </w:pPr>
            <w:r w:rsidRPr="009548E1">
              <w:rPr>
                <w:sz w:val="16"/>
                <w:szCs w:val="16"/>
              </w:rPr>
              <w:t>43.981.538,31</w:t>
            </w:r>
          </w:p>
        </w:tc>
      </w:tr>
      <w:tr w:rsidR="00293F62" w:rsidRPr="009548E1" w14:paraId="39A70EBD" w14:textId="77777777" w:rsidTr="005C7D38">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25DDD098" w14:textId="77777777" w:rsidR="00293F62" w:rsidRPr="009548E1" w:rsidRDefault="00293F62" w:rsidP="005C7D38">
            <w:pPr>
              <w:jc w:val="center"/>
              <w:rPr>
                <w:sz w:val="16"/>
                <w:szCs w:val="16"/>
              </w:rPr>
            </w:pPr>
            <w:r w:rsidRPr="009548E1">
              <w:rPr>
                <w:sz w:val="16"/>
                <w:szCs w:val="16"/>
              </w:rPr>
              <w:t>3.</w:t>
            </w:r>
          </w:p>
        </w:tc>
        <w:tc>
          <w:tcPr>
            <w:tcW w:w="4047" w:type="dxa"/>
            <w:tcBorders>
              <w:top w:val="single" w:sz="4" w:space="0" w:color="auto"/>
              <w:left w:val="nil"/>
              <w:bottom w:val="nil"/>
              <w:right w:val="single" w:sz="4" w:space="0" w:color="auto"/>
            </w:tcBorders>
            <w:shd w:val="clear" w:color="auto" w:fill="auto"/>
            <w:noWrap/>
            <w:vAlign w:val="center"/>
            <w:hideMark/>
          </w:tcPr>
          <w:p w14:paraId="49981915" w14:textId="77777777" w:rsidR="00293F62" w:rsidRPr="009548E1" w:rsidRDefault="00293F62" w:rsidP="005C7D38">
            <w:pPr>
              <w:rPr>
                <w:sz w:val="16"/>
                <w:szCs w:val="16"/>
              </w:rPr>
            </w:pPr>
            <w:r w:rsidRPr="009548E1">
              <w:rPr>
                <w:sz w:val="16"/>
                <w:szCs w:val="16"/>
              </w:rPr>
              <w:t xml:space="preserve">HPB HRK 950 </w:t>
            </w:r>
            <w:proofErr w:type="spellStart"/>
            <w:r w:rsidRPr="009548E1">
              <w:rPr>
                <w:sz w:val="16"/>
                <w:szCs w:val="16"/>
              </w:rPr>
              <w:t>mil</w:t>
            </w:r>
            <w:proofErr w:type="spellEnd"/>
            <w:r w:rsidRPr="009548E1">
              <w:rPr>
                <w:sz w:val="16"/>
                <w:szCs w:val="16"/>
              </w:rPr>
              <w:t>. 2017, D-2024</w:t>
            </w:r>
          </w:p>
        </w:tc>
        <w:tc>
          <w:tcPr>
            <w:tcW w:w="992" w:type="dxa"/>
            <w:tcBorders>
              <w:top w:val="single" w:sz="4" w:space="0" w:color="auto"/>
              <w:left w:val="nil"/>
              <w:bottom w:val="nil"/>
              <w:right w:val="single" w:sz="4" w:space="0" w:color="auto"/>
            </w:tcBorders>
            <w:shd w:val="clear" w:color="auto" w:fill="auto"/>
            <w:noWrap/>
            <w:vAlign w:val="center"/>
            <w:hideMark/>
          </w:tcPr>
          <w:p w14:paraId="6B070781" w14:textId="77777777" w:rsidR="00293F62" w:rsidRPr="009548E1" w:rsidRDefault="00293F62" w:rsidP="005C7D38">
            <w:pPr>
              <w:jc w:val="center"/>
              <w:rPr>
                <w:sz w:val="16"/>
                <w:szCs w:val="16"/>
              </w:rPr>
            </w:pPr>
            <w:r w:rsidRPr="009548E1">
              <w:rPr>
                <w:sz w:val="16"/>
                <w:szCs w:val="16"/>
              </w:rPr>
              <w:t>HPB</w:t>
            </w:r>
          </w:p>
        </w:tc>
        <w:tc>
          <w:tcPr>
            <w:tcW w:w="850" w:type="dxa"/>
            <w:tcBorders>
              <w:top w:val="single" w:sz="4" w:space="0" w:color="auto"/>
              <w:left w:val="nil"/>
              <w:bottom w:val="nil"/>
              <w:right w:val="single" w:sz="4" w:space="0" w:color="auto"/>
            </w:tcBorders>
            <w:shd w:val="clear" w:color="auto" w:fill="auto"/>
            <w:noWrap/>
            <w:vAlign w:val="center"/>
            <w:hideMark/>
          </w:tcPr>
          <w:p w14:paraId="07B7C7A5" w14:textId="77777777" w:rsidR="00293F62" w:rsidRPr="009548E1" w:rsidRDefault="00293F62" w:rsidP="005C7D38">
            <w:pPr>
              <w:jc w:val="center"/>
              <w:rPr>
                <w:sz w:val="16"/>
                <w:szCs w:val="16"/>
              </w:rPr>
            </w:pPr>
            <w:r w:rsidRPr="009548E1">
              <w:rPr>
                <w:sz w:val="16"/>
                <w:szCs w:val="16"/>
              </w:rPr>
              <w:t>EUR</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072A816" w14:textId="77777777" w:rsidR="00293F62" w:rsidRPr="009548E1" w:rsidRDefault="00293F62" w:rsidP="005C7D38">
            <w:pPr>
              <w:jc w:val="right"/>
              <w:rPr>
                <w:sz w:val="16"/>
                <w:szCs w:val="16"/>
              </w:rPr>
            </w:pPr>
            <w:r w:rsidRPr="009548E1">
              <w:rPr>
                <w:sz w:val="16"/>
                <w:szCs w:val="16"/>
              </w:rPr>
              <w:t>50.434.667,25</w:t>
            </w:r>
          </w:p>
        </w:tc>
      </w:tr>
      <w:tr w:rsidR="00293F62" w:rsidRPr="009548E1" w14:paraId="276911F3" w14:textId="77777777" w:rsidTr="005C7D38">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58ED2BB8" w14:textId="77777777" w:rsidR="00293F62" w:rsidRPr="009548E1" w:rsidRDefault="00293F62" w:rsidP="005C7D38">
            <w:pPr>
              <w:jc w:val="center"/>
              <w:rPr>
                <w:sz w:val="16"/>
                <w:szCs w:val="16"/>
              </w:rPr>
            </w:pPr>
            <w:r w:rsidRPr="009548E1">
              <w:rPr>
                <w:sz w:val="16"/>
                <w:szCs w:val="16"/>
              </w:rPr>
              <w:t>4.</w:t>
            </w:r>
          </w:p>
        </w:tc>
        <w:tc>
          <w:tcPr>
            <w:tcW w:w="4047" w:type="dxa"/>
            <w:tcBorders>
              <w:top w:val="single" w:sz="4" w:space="0" w:color="auto"/>
              <w:left w:val="nil"/>
              <w:bottom w:val="single" w:sz="4" w:space="0" w:color="auto"/>
              <w:right w:val="single" w:sz="4" w:space="0" w:color="auto"/>
            </w:tcBorders>
            <w:shd w:val="clear" w:color="auto" w:fill="auto"/>
            <w:noWrap/>
            <w:vAlign w:val="center"/>
            <w:hideMark/>
          </w:tcPr>
          <w:p w14:paraId="1DB3217D" w14:textId="77777777" w:rsidR="00293F62" w:rsidRPr="009548E1" w:rsidRDefault="00293F62" w:rsidP="005C7D38">
            <w:pPr>
              <w:rPr>
                <w:sz w:val="16"/>
                <w:szCs w:val="16"/>
              </w:rPr>
            </w:pPr>
            <w:r w:rsidRPr="009548E1">
              <w:rPr>
                <w:sz w:val="16"/>
                <w:szCs w:val="16"/>
              </w:rPr>
              <w:t xml:space="preserve">HPB HRK 400 </w:t>
            </w:r>
            <w:proofErr w:type="spellStart"/>
            <w:r w:rsidRPr="009548E1">
              <w:rPr>
                <w:sz w:val="16"/>
                <w:szCs w:val="16"/>
              </w:rPr>
              <w:t>mil</w:t>
            </w:r>
            <w:proofErr w:type="spellEnd"/>
            <w:r w:rsidRPr="009548E1">
              <w:rPr>
                <w:sz w:val="16"/>
                <w:szCs w:val="16"/>
              </w:rPr>
              <w:t>. D-2024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C18849C" w14:textId="77777777" w:rsidR="00293F62" w:rsidRPr="009548E1" w:rsidRDefault="00293F62" w:rsidP="005C7D38">
            <w:pPr>
              <w:jc w:val="center"/>
              <w:rPr>
                <w:sz w:val="16"/>
                <w:szCs w:val="16"/>
              </w:rPr>
            </w:pPr>
            <w:r w:rsidRPr="009548E1">
              <w:rPr>
                <w:sz w:val="16"/>
                <w:szCs w:val="16"/>
              </w:rPr>
              <w:t>HPB</w:t>
            </w:r>
          </w:p>
        </w:tc>
        <w:tc>
          <w:tcPr>
            <w:tcW w:w="850" w:type="dxa"/>
            <w:tcBorders>
              <w:top w:val="single" w:sz="4" w:space="0" w:color="auto"/>
              <w:left w:val="nil"/>
              <w:bottom w:val="nil"/>
              <w:right w:val="single" w:sz="4" w:space="0" w:color="auto"/>
            </w:tcBorders>
            <w:shd w:val="clear" w:color="auto" w:fill="auto"/>
            <w:noWrap/>
            <w:vAlign w:val="center"/>
            <w:hideMark/>
          </w:tcPr>
          <w:p w14:paraId="53A44A75" w14:textId="77777777" w:rsidR="00293F62" w:rsidRPr="009548E1" w:rsidRDefault="00293F62" w:rsidP="005C7D38">
            <w:pPr>
              <w:jc w:val="center"/>
              <w:rPr>
                <w:sz w:val="16"/>
                <w:szCs w:val="16"/>
              </w:rPr>
            </w:pPr>
            <w:r w:rsidRPr="009548E1">
              <w:rPr>
                <w:sz w:val="16"/>
                <w:szCs w:val="16"/>
              </w:rPr>
              <w:t>EUR</w:t>
            </w:r>
          </w:p>
        </w:tc>
        <w:tc>
          <w:tcPr>
            <w:tcW w:w="1560" w:type="dxa"/>
            <w:tcBorders>
              <w:top w:val="nil"/>
              <w:left w:val="nil"/>
              <w:bottom w:val="single" w:sz="4" w:space="0" w:color="auto"/>
              <w:right w:val="single" w:sz="4" w:space="0" w:color="auto"/>
            </w:tcBorders>
            <w:shd w:val="clear" w:color="auto" w:fill="auto"/>
            <w:noWrap/>
            <w:vAlign w:val="center"/>
            <w:hideMark/>
          </w:tcPr>
          <w:p w14:paraId="60C95905" w14:textId="77777777" w:rsidR="00293F62" w:rsidRPr="009548E1" w:rsidRDefault="00293F62" w:rsidP="005C7D38">
            <w:pPr>
              <w:jc w:val="right"/>
              <w:rPr>
                <w:sz w:val="16"/>
                <w:szCs w:val="16"/>
              </w:rPr>
            </w:pPr>
            <w:r w:rsidRPr="009548E1">
              <w:rPr>
                <w:sz w:val="16"/>
                <w:szCs w:val="16"/>
              </w:rPr>
              <w:t>53.089.123,37</w:t>
            </w:r>
          </w:p>
        </w:tc>
      </w:tr>
      <w:tr w:rsidR="00293F62" w:rsidRPr="009548E1" w14:paraId="05B6C94C" w14:textId="77777777" w:rsidTr="005C7D38">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04E257CB" w14:textId="77777777" w:rsidR="00293F62" w:rsidRPr="009548E1" w:rsidRDefault="00293F62" w:rsidP="005C7D38">
            <w:pPr>
              <w:jc w:val="center"/>
              <w:rPr>
                <w:sz w:val="16"/>
                <w:szCs w:val="16"/>
              </w:rPr>
            </w:pPr>
            <w:r w:rsidRPr="009548E1">
              <w:rPr>
                <w:sz w:val="16"/>
                <w:szCs w:val="16"/>
              </w:rPr>
              <w:t>5.</w:t>
            </w:r>
          </w:p>
        </w:tc>
        <w:tc>
          <w:tcPr>
            <w:tcW w:w="4047" w:type="dxa"/>
            <w:tcBorders>
              <w:top w:val="nil"/>
              <w:left w:val="nil"/>
              <w:bottom w:val="single" w:sz="4" w:space="0" w:color="auto"/>
              <w:right w:val="single" w:sz="4" w:space="0" w:color="auto"/>
            </w:tcBorders>
            <w:shd w:val="clear" w:color="auto" w:fill="auto"/>
            <w:noWrap/>
            <w:vAlign w:val="center"/>
            <w:hideMark/>
          </w:tcPr>
          <w:p w14:paraId="7A4EC947" w14:textId="77777777" w:rsidR="00293F62" w:rsidRPr="009548E1" w:rsidRDefault="00293F62" w:rsidP="005C7D38">
            <w:pPr>
              <w:rPr>
                <w:sz w:val="16"/>
                <w:szCs w:val="16"/>
              </w:rPr>
            </w:pPr>
            <w:r w:rsidRPr="009548E1">
              <w:rPr>
                <w:sz w:val="16"/>
                <w:szCs w:val="16"/>
              </w:rPr>
              <w:t xml:space="preserve">HPB HRK 500 </w:t>
            </w:r>
            <w:proofErr w:type="spellStart"/>
            <w:r w:rsidRPr="009548E1">
              <w:rPr>
                <w:sz w:val="16"/>
                <w:szCs w:val="16"/>
              </w:rPr>
              <w:t>mil</w:t>
            </w:r>
            <w:proofErr w:type="spellEnd"/>
            <w:r w:rsidRPr="009548E1">
              <w:rPr>
                <w:sz w:val="16"/>
                <w:szCs w:val="16"/>
              </w:rPr>
              <w:t>. D-2025</w:t>
            </w:r>
          </w:p>
        </w:tc>
        <w:tc>
          <w:tcPr>
            <w:tcW w:w="992" w:type="dxa"/>
            <w:tcBorders>
              <w:top w:val="nil"/>
              <w:left w:val="nil"/>
              <w:bottom w:val="single" w:sz="4" w:space="0" w:color="auto"/>
              <w:right w:val="single" w:sz="4" w:space="0" w:color="auto"/>
            </w:tcBorders>
            <w:shd w:val="clear" w:color="auto" w:fill="auto"/>
            <w:noWrap/>
            <w:vAlign w:val="center"/>
            <w:hideMark/>
          </w:tcPr>
          <w:p w14:paraId="3B8CB463" w14:textId="77777777" w:rsidR="00293F62" w:rsidRPr="009548E1" w:rsidRDefault="00293F62" w:rsidP="005C7D38">
            <w:pPr>
              <w:jc w:val="center"/>
              <w:rPr>
                <w:sz w:val="16"/>
                <w:szCs w:val="16"/>
              </w:rPr>
            </w:pPr>
            <w:r w:rsidRPr="009548E1">
              <w:rPr>
                <w:sz w:val="16"/>
                <w:szCs w:val="16"/>
              </w:rPr>
              <w:t>HPB</w:t>
            </w:r>
          </w:p>
        </w:tc>
        <w:tc>
          <w:tcPr>
            <w:tcW w:w="850" w:type="dxa"/>
            <w:tcBorders>
              <w:top w:val="single" w:sz="4" w:space="0" w:color="auto"/>
              <w:left w:val="nil"/>
              <w:bottom w:val="nil"/>
              <w:right w:val="single" w:sz="4" w:space="0" w:color="auto"/>
            </w:tcBorders>
            <w:shd w:val="clear" w:color="auto" w:fill="auto"/>
            <w:noWrap/>
            <w:vAlign w:val="center"/>
            <w:hideMark/>
          </w:tcPr>
          <w:p w14:paraId="1FF0FCBA" w14:textId="77777777" w:rsidR="00293F62" w:rsidRPr="009548E1" w:rsidRDefault="00293F62" w:rsidP="005C7D38">
            <w:pPr>
              <w:jc w:val="center"/>
              <w:rPr>
                <w:sz w:val="16"/>
                <w:szCs w:val="16"/>
              </w:rPr>
            </w:pPr>
            <w:r w:rsidRPr="009548E1">
              <w:rPr>
                <w:sz w:val="16"/>
                <w:szCs w:val="16"/>
              </w:rPr>
              <w:t>EUR</w:t>
            </w:r>
          </w:p>
        </w:tc>
        <w:tc>
          <w:tcPr>
            <w:tcW w:w="1560" w:type="dxa"/>
            <w:tcBorders>
              <w:top w:val="nil"/>
              <w:left w:val="nil"/>
              <w:bottom w:val="single" w:sz="4" w:space="0" w:color="auto"/>
              <w:right w:val="single" w:sz="4" w:space="0" w:color="auto"/>
            </w:tcBorders>
            <w:shd w:val="clear" w:color="auto" w:fill="auto"/>
            <w:noWrap/>
            <w:vAlign w:val="center"/>
            <w:hideMark/>
          </w:tcPr>
          <w:p w14:paraId="7B1C3F56" w14:textId="77777777" w:rsidR="00293F62" w:rsidRPr="009548E1" w:rsidRDefault="00293F62" w:rsidP="005C7D38">
            <w:pPr>
              <w:jc w:val="right"/>
              <w:rPr>
                <w:sz w:val="16"/>
                <w:szCs w:val="16"/>
              </w:rPr>
            </w:pPr>
            <w:r w:rsidRPr="009548E1">
              <w:rPr>
                <w:sz w:val="16"/>
                <w:szCs w:val="16"/>
              </w:rPr>
              <w:t>66.361.404,21</w:t>
            </w:r>
          </w:p>
        </w:tc>
      </w:tr>
      <w:tr w:rsidR="00293F62" w:rsidRPr="009548E1" w14:paraId="3A9DD228" w14:textId="77777777" w:rsidTr="005C7D38">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5055103F" w14:textId="77777777" w:rsidR="00293F62" w:rsidRPr="009548E1" w:rsidRDefault="00293F62" w:rsidP="005C7D38">
            <w:pPr>
              <w:jc w:val="center"/>
              <w:rPr>
                <w:sz w:val="16"/>
                <w:szCs w:val="16"/>
              </w:rPr>
            </w:pPr>
            <w:r w:rsidRPr="009548E1">
              <w:rPr>
                <w:sz w:val="16"/>
                <w:szCs w:val="16"/>
              </w:rPr>
              <w:t>6.</w:t>
            </w:r>
          </w:p>
        </w:tc>
        <w:tc>
          <w:tcPr>
            <w:tcW w:w="4047" w:type="dxa"/>
            <w:tcBorders>
              <w:top w:val="nil"/>
              <w:left w:val="nil"/>
              <w:bottom w:val="single" w:sz="4" w:space="0" w:color="auto"/>
              <w:right w:val="single" w:sz="4" w:space="0" w:color="auto"/>
            </w:tcBorders>
            <w:shd w:val="clear" w:color="auto" w:fill="auto"/>
            <w:noWrap/>
            <w:vAlign w:val="center"/>
            <w:hideMark/>
          </w:tcPr>
          <w:p w14:paraId="6A5D1E18" w14:textId="77777777" w:rsidR="00293F62" w:rsidRPr="009548E1" w:rsidRDefault="00293F62" w:rsidP="005C7D38">
            <w:pPr>
              <w:rPr>
                <w:sz w:val="16"/>
                <w:szCs w:val="16"/>
              </w:rPr>
            </w:pPr>
            <w:r w:rsidRPr="009548E1">
              <w:rPr>
                <w:sz w:val="16"/>
                <w:szCs w:val="16"/>
              </w:rPr>
              <w:t xml:space="preserve">HBOR HRK 136 </w:t>
            </w:r>
            <w:proofErr w:type="spellStart"/>
            <w:r w:rsidRPr="009548E1">
              <w:rPr>
                <w:sz w:val="16"/>
                <w:szCs w:val="16"/>
              </w:rPr>
              <w:t>mil</w:t>
            </w:r>
            <w:proofErr w:type="spellEnd"/>
            <w:r w:rsidRPr="009548E1">
              <w:rPr>
                <w:sz w:val="16"/>
                <w:szCs w:val="16"/>
              </w:rPr>
              <w:t>. preuzeto 2022</w:t>
            </w:r>
          </w:p>
        </w:tc>
        <w:tc>
          <w:tcPr>
            <w:tcW w:w="992" w:type="dxa"/>
            <w:tcBorders>
              <w:top w:val="nil"/>
              <w:left w:val="nil"/>
              <w:bottom w:val="single" w:sz="4" w:space="0" w:color="auto"/>
              <w:right w:val="single" w:sz="4" w:space="0" w:color="auto"/>
            </w:tcBorders>
            <w:shd w:val="clear" w:color="auto" w:fill="auto"/>
            <w:noWrap/>
            <w:vAlign w:val="center"/>
            <w:hideMark/>
          </w:tcPr>
          <w:p w14:paraId="11587D6D" w14:textId="77777777" w:rsidR="00293F62" w:rsidRPr="009548E1" w:rsidRDefault="00293F62" w:rsidP="005C7D38">
            <w:pPr>
              <w:jc w:val="center"/>
              <w:rPr>
                <w:sz w:val="16"/>
                <w:szCs w:val="16"/>
              </w:rPr>
            </w:pPr>
            <w:r w:rsidRPr="009548E1">
              <w:rPr>
                <w:sz w:val="16"/>
                <w:szCs w:val="16"/>
              </w:rPr>
              <w:t>HBOR</w:t>
            </w:r>
          </w:p>
        </w:tc>
        <w:tc>
          <w:tcPr>
            <w:tcW w:w="850" w:type="dxa"/>
            <w:tcBorders>
              <w:top w:val="single" w:sz="4" w:space="0" w:color="auto"/>
              <w:left w:val="nil"/>
              <w:bottom w:val="nil"/>
              <w:right w:val="single" w:sz="4" w:space="0" w:color="auto"/>
            </w:tcBorders>
            <w:shd w:val="clear" w:color="auto" w:fill="auto"/>
            <w:noWrap/>
            <w:vAlign w:val="center"/>
            <w:hideMark/>
          </w:tcPr>
          <w:p w14:paraId="0AD077FF" w14:textId="77777777" w:rsidR="00293F62" w:rsidRPr="009548E1" w:rsidRDefault="00293F62" w:rsidP="005C7D38">
            <w:pPr>
              <w:jc w:val="center"/>
              <w:rPr>
                <w:sz w:val="16"/>
                <w:szCs w:val="16"/>
              </w:rPr>
            </w:pPr>
            <w:r w:rsidRPr="009548E1">
              <w:rPr>
                <w:sz w:val="16"/>
                <w:szCs w:val="16"/>
              </w:rPr>
              <w:t>EUR</w:t>
            </w:r>
          </w:p>
        </w:tc>
        <w:tc>
          <w:tcPr>
            <w:tcW w:w="1560" w:type="dxa"/>
            <w:tcBorders>
              <w:top w:val="nil"/>
              <w:left w:val="nil"/>
              <w:bottom w:val="single" w:sz="4" w:space="0" w:color="auto"/>
              <w:right w:val="single" w:sz="4" w:space="0" w:color="auto"/>
            </w:tcBorders>
            <w:shd w:val="clear" w:color="auto" w:fill="auto"/>
            <w:noWrap/>
            <w:vAlign w:val="center"/>
            <w:hideMark/>
          </w:tcPr>
          <w:p w14:paraId="7A982A5B" w14:textId="77777777" w:rsidR="00293F62" w:rsidRPr="009548E1" w:rsidRDefault="00293F62" w:rsidP="005C7D38">
            <w:pPr>
              <w:jc w:val="right"/>
              <w:rPr>
                <w:sz w:val="16"/>
                <w:szCs w:val="16"/>
              </w:rPr>
            </w:pPr>
            <w:r w:rsidRPr="009548E1">
              <w:rPr>
                <w:sz w:val="16"/>
                <w:szCs w:val="16"/>
              </w:rPr>
              <w:t>11.281.438,72</w:t>
            </w:r>
          </w:p>
        </w:tc>
      </w:tr>
      <w:tr w:rsidR="00293F62" w:rsidRPr="009548E1" w14:paraId="03EEDE4C" w14:textId="77777777" w:rsidTr="005C7D38">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53940DFD" w14:textId="77777777" w:rsidR="00293F62" w:rsidRPr="009548E1" w:rsidRDefault="00293F62" w:rsidP="005C7D38">
            <w:pPr>
              <w:jc w:val="center"/>
              <w:rPr>
                <w:sz w:val="16"/>
                <w:szCs w:val="16"/>
              </w:rPr>
            </w:pPr>
            <w:r w:rsidRPr="009548E1">
              <w:rPr>
                <w:sz w:val="16"/>
                <w:szCs w:val="16"/>
              </w:rPr>
              <w:t>7.</w:t>
            </w:r>
          </w:p>
        </w:tc>
        <w:tc>
          <w:tcPr>
            <w:tcW w:w="4047" w:type="dxa"/>
            <w:tcBorders>
              <w:top w:val="nil"/>
              <w:left w:val="nil"/>
              <w:bottom w:val="single" w:sz="4" w:space="0" w:color="auto"/>
              <w:right w:val="single" w:sz="4" w:space="0" w:color="auto"/>
            </w:tcBorders>
            <w:shd w:val="clear" w:color="auto" w:fill="auto"/>
            <w:noWrap/>
            <w:vAlign w:val="center"/>
            <w:hideMark/>
          </w:tcPr>
          <w:p w14:paraId="71E98B5C" w14:textId="77777777" w:rsidR="00293F62" w:rsidRPr="009548E1" w:rsidRDefault="00293F62" w:rsidP="005C7D38">
            <w:pPr>
              <w:rPr>
                <w:sz w:val="16"/>
                <w:szCs w:val="16"/>
              </w:rPr>
            </w:pPr>
            <w:r w:rsidRPr="009548E1">
              <w:rPr>
                <w:sz w:val="16"/>
                <w:szCs w:val="16"/>
              </w:rPr>
              <w:t xml:space="preserve">HŽ </w:t>
            </w:r>
            <w:proofErr w:type="spellStart"/>
            <w:r w:rsidRPr="009548E1">
              <w:rPr>
                <w:sz w:val="16"/>
                <w:szCs w:val="16"/>
              </w:rPr>
              <w:t>Cargo</w:t>
            </w:r>
            <w:proofErr w:type="spellEnd"/>
            <w:r w:rsidRPr="009548E1">
              <w:rPr>
                <w:sz w:val="16"/>
                <w:szCs w:val="16"/>
              </w:rPr>
              <w:t xml:space="preserve"> HPB preuzeto 2022, D-2026</w:t>
            </w:r>
          </w:p>
        </w:tc>
        <w:tc>
          <w:tcPr>
            <w:tcW w:w="992" w:type="dxa"/>
            <w:tcBorders>
              <w:top w:val="nil"/>
              <w:left w:val="nil"/>
              <w:bottom w:val="single" w:sz="4" w:space="0" w:color="auto"/>
              <w:right w:val="single" w:sz="4" w:space="0" w:color="auto"/>
            </w:tcBorders>
            <w:shd w:val="clear" w:color="auto" w:fill="auto"/>
            <w:noWrap/>
            <w:vAlign w:val="center"/>
            <w:hideMark/>
          </w:tcPr>
          <w:p w14:paraId="27942A35" w14:textId="77777777" w:rsidR="00293F62" w:rsidRPr="009548E1" w:rsidRDefault="00293F62" w:rsidP="005C7D38">
            <w:pPr>
              <w:jc w:val="center"/>
              <w:rPr>
                <w:sz w:val="16"/>
                <w:szCs w:val="16"/>
              </w:rPr>
            </w:pPr>
            <w:r w:rsidRPr="009548E1">
              <w:rPr>
                <w:sz w:val="16"/>
                <w:szCs w:val="16"/>
              </w:rPr>
              <w:t>HPB</w:t>
            </w:r>
          </w:p>
        </w:tc>
        <w:tc>
          <w:tcPr>
            <w:tcW w:w="850" w:type="dxa"/>
            <w:tcBorders>
              <w:top w:val="single" w:sz="4" w:space="0" w:color="auto"/>
              <w:left w:val="nil"/>
              <w:bottom w:val="nil"/>
              <w:right w:val="single" w:sz="4" w:space="0" w:color="auto"/>
            </w:tcBorders>
            <w:shd w:val="clear" w:color="auto" w:fill="auto"/>
            <w:noWrap/>
            <w:vAlign w:val="center"/>
            <w:hideMark/>
          </w:tcPr>
          <w:p w14:paraId="7A23E860" w14:textId="77777777" w:rsidR="00293F62" w:rsidRPr="009548E1" w:rsidRDefault="00293F62" w:rsidP="005C7D38">
            <w:pPr>
              <w:jc w:val="center"/>
              <w:rPr>
                <w:sz w:val="16"/>
                <w:szCs w:val="16"/>
              </w:rPr>
            </w:pPr>
            <w:r w:rsidRPr="009548E1">
              <w:rPr>
                <w:sz w:val="16"/>
                <w:szCs w:val="16"/>
              </w:rPr>
              <w:t>EUR</w:t>
            </w:r>
          </w:p>
        </w:tc>
        <w:tc>
          <w:tcPr>
            <w:tcW w:w="1560" w:type="dxa"/>
            <w:tcBorders>
              <w:top w:val="nil"/>
              <w:left w:val="nil"/>
              <w:bottom w:val="single" w:sz="4" w:space="0" w:color="auto"/>
              <w:right w:val="single" w:sz="4" w:space="0" w:color="auto"/>
            </w:tcBorders>
            <w:shd w:val="clear" w:color="auto" w:fill="auto"/>
            <w:noWrap/>
            <w:vAlign w:val="center"/>
            <w:hideMark/>
          </w:tcPr>
          <w:p w14:paraId="4E96A2C2" w14:textId="77777777" w:rsidR="00293F62" w:rsidRPr="009548E1" w:rsidRDefault="00293F62" w:rsidP="005C7D38">
            <w:pPr>
              <w:jc w:val="right"/>
              <w:rPr>
                <w:sz w:val="16"/>
                <w:szCs w:val="16"/>
              </w:rPr>
            </w:pPr>
            <w:r w:rsidRPr="009548E1">
              <w:rPr>
                <w:sz w:val="16"/>
                <w:szCs w:val="16"/>
              </w:rPr>
              <w:t>5.143.008,83</w:t>
            </w:r>
          </w:p>
        </w:tc>
      </w:tr>
      <w:tr w:rsidR="00293F62" w:rsidRPr="009548E1" w14:paraId="0097B7CA" w14:textId="77777777" w:rsidTr="005C7D38">
        <w:trPr>
          <w:trHeight w:val="315"/>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DD2B9B6" w14:textId="77777777" w:rsidR="00293F62" w:rsidRPr="009548E1" w:rsidRDefault="00293F62" w:rsidP="005C7D38">
            <w:pPr>
              <w:jc w:val="center"/>
              <w:rPr>
                <w:sz w:val="16"/>
                <w:szCs w:val="16"/>
              </w:rPr>
            </w:pPr>
            <w:r w:rsidRPr="009548E1">
              <w:rPr>
                <w:sz w:val="16"/>
                <w:szCs w:val="16"/>
              </w:rPr>
              <w:t>8.</w:t>
            </w:r>
          </w:p>
        </w:tc>
        <w:tc>
          <w:tcPr>
            <w:tcW w:w="4047" w:type="dxa"/>
            <w:tcBorders>
              <w:top w:val="nil"/>
              <w:left w:val="nil"/>
              <w:bottom w:val="single" w:sz="4" w:space="0" w:color="auto"/>
              <w:right w:val="single" w:sz="4" w:space="0" w:color="auto"/>
            </w:tcBorders>
            <w:shd w:val="clear" w:color="auto" w:fill="auto"/>
            <w:noWrap/>
            <w:vAlign w:val="center"/>
            <w:hideMark/>
          </w:tcPr>
          <w:p w14:paraId="182B6C7D" w14:textId="77777777" w:rsidR="00293F62" w:rsidRPr="009548E1" w:rsidRDefault="00293F62" w:rsidP="005C7D38">
            <w:pPr>
              <w:rPr>
                <w:sz w:val="16"/>
                <w:szCs w:val="16"/>
              </w:rPr>
            </w:pPr>
            <w:r w:rsidRPr="009548E1">
              <w:rPr>
                <w:sz w:val="16"/>
                <w:szCs w:val="16"/>
              </w:rPr>
              <w:t xml:space="preserve">HŽ </w:t>
            </w:r>
            <w:proofErr w:type="spellStart"/>
            <w:r w:rsidRPr="009548E1">
              <w:rPr>
                <w:sz w:val="16"/>
                <w:szCs w:val="16"/>
              </w:rPr>
              <w:t>Cargo</w:t>
            </w:r>
            <w:proofErr w:type="spellEnd"/>
            <w:r w:rsidRPr="009548E1">
              <w:rPr>
                <w:sz w:val="16"/>
                <w:szCs w:val="16"/>
              </w:rPr>
              <w:t xml:space="preserve"> </w:t>
            </w:r>
            <w:proofErr w:type="spellStart"/>
            <w:r w:rsidRPr="009548E1">
              <w:rPr>
                <w:sz w:val="16"/>
                <w:szCs w:val="16"/>
              </w:rPr>
              <w:t>Cratia</w:t>
            </w:r>
            <w:proofErr w:type="spellEnd"/>
            <w:r w:rsidRPr="009548E1">
              <w:rPr>
                <w:sz w:val="16"/>
                <w:szCs w:val="16"/>
              </w:rPr>
              <w:t xml:space="preserve"> banka preuzeto 2022, D-2026</w:t>
            </w:r>
          </w:p>
        </w:tc>
        <w:tc>
          <w:tcPr>
            <w:tcW w:w="992" w:type="dxa"/>
            <w:tcBorders>
              <w:top w:val="nil"/>
              <w:left w:val="nil"/>
              <w:bottom w:val="double" w:sz="6" w:space="0" w:color="auto"/>
              <w:right w:val="single" w:sz="4" w:space="0" w:color="auto"/>
            </w:tcBorders>
            <w:shd w:val="clear" w:color="auto" w:fill="auto"/>
            <w:noWrap/>
            <w:vAlign w:val="center"/>
            <w:hideMark/>
          </w:tcPr>
          <w:p w14:paraId="54EDA424" w14:textId="77777777" w:rsidR="00293F62" w:rsidRPr="009548E1" w:rsidRDefault="00293F62" w:rsidP="005C7D38">
            <w:pPr>
              <w:jc w:val="center"/>
              <w:rPr>
                <w:sz w:val="16"/>
                <w:szCs w:val="16"/>
              </w:rPr>
            </w:pPr>
            <w:r w:rsidRPr="009548E1">
              <w:rPr>
                <w:sz w:val="16"/>
                <w:szCs w:val="16"/>
              </w:rPr>
              <w:t>Croatia b.</w:t>
            </w:r>
          </w:p>
        </w:tc>
        <w:tc>
          <w:tcPr>
            <w:tcW w:w="850" w:type="dxa"/>
            <w:tcBorders>
              <w:top w:val="single" w:sz="4" w:space="0" w:color="auto"/>
              <w:left w:val="nil"/>
              <w:bottom w:val="nil"/>
              <w:right w:val="single" w:sz="4" w:space="0" w:color="auto"/>
            </w:tcBorders>
            <w:shd w:val="clear" w:color="auto" w:fill="auto"/>
            <w:noWrap/>
            <w:vAlign w:val="center"/>
            <w:hideMark/>
          </w:tcPr>
          <w:p w14:paraId="3BBEE3C7" w14:textId="77777777" w:rsidR="00293F62" w:rsidRPr="009548E1" w:rsidRDefault="00293F62" w:rsidP="005C7D38">
            <w:pPr>
              <w:jc w:val="center"/>
              <w:rPr>
                <w:sz w:val="16"/>
                <w:szCs w:val="16"/>
              </w:rPr>
            </w:pPr>
            <w:r w:rsidRPr="009548E1">
              <w:rPr>
                <w:sz w:val="16"/>
                <w:szCs w:val="16"/>
              </w:rPr>
              <w:t>EUR</w:t>
            </w:r>
          </w:p>
        </w:tc>
        <w:tc>
          <w:tcPr>
            <w:tcW w:w="1560" w:type="dxa"/>
            <w:tcBorders>
              <w:top w:val="nil"/>
              <w:left w:val="nil"/>
              <w:bottom w:val="nil"/>
              <w:right w:val="single" w:sz="4" w:space="0" w:color="auto"/>
            </w:tcBorders>
            <w:shd w:val="clear" w:color="auto" w:fill="auto"/>
            <w:noWrap/>
            <w:vAlign w:val="center"/>
            <w:hideMark/>
          </w:tcPr>
          <w:p w14:paraId="253515F2" w14:textId="77777777" w:rsidR="00293F62" w:rsidRPr="009548E1" w:rsidRDefault="00293F62" w:rsidP="005C7D38">
            <w:pPr>
              <w:jc w:val="right"/>
              <w:rPr>
                <w:sz w:val="16"/>
                <w:szCs w:val="16"/>
              </w:rPr>
            </w:pPr>
            <w:r w:rsidRPr="009548E1">
              <w:rPr>
                <w:sz w:val="16"/>
                <w:szCs w:val="16"/>
              </w:rPr>
              <w:t>3.428.672,60</w:t>
            </w:r>
          </w:p>
        </w:tc>
      </w:tr>
      <w:tr w:rsidR="00293F62" w:rsidRPr="009548E1" w14:paraId="2DFB79A0" w14:textId="77777777" w:rsidTr="005C7D38">
        <w:trPr>
          <w:trHeight w:val="330"/>
          <w:jc w:val="center"/>
        </w:trPr>
        <w:tc>
          <w:tcPr>
            <w:tcW w:w="91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7726FD0" w14:textId="77777777" w:rsidR="00293F62" w:rsidRPr="009548E1" w:rsidRDefault="00293F62" w:rsidP="005C7D38">
            <w:pPr>
              <w:jc w:val="center"/>
              <w:rPr>
                <w:b/>
                <w:bCs/>
                <w:sz w:val="16"/>
                <w:szCs w:val="16"/>
              </w:rPr>
            </w:pPr>
            <w:r w:rsidRPr="009548E1">
              <w:rPr>
                <w:b/>
                <w:bCs/>
                <w:sz w:val="16"/>
                <w:szCs w:val="16"/>
              </w:rPr>
              <w:t>UKUPNO</w:t>
            </w:r>
          </w:p>
        </w:tc>
        <w:tc>
          <w:tcPr>
            <w:tcW w:w="4047" w:type="dxa"/>
            <w:tcBorders>
              <w:top w:val="double" w:sz="6" w:space="0" w:color="auto"/>
              <w:left w:val="nil"/>
              <w:bottom w:val="double" w:sz="6" w:space="0" w:color="auto"/>
              <w:right w:val="double" w:sz="6" w:space="0" w:color="auto"/>
            </w:tcBorders>
            <w:shd w:val="clear" w:color="auto" w:fill="auto"/>
            <w:noWrap/>
            <w:vAlign w:val="center"/>
            <w:hideMark/>
          </w:tcPr>
          <w:p w14:paraId="5C385794" w14:textId="77777777" w:rsidR="00293F62" w:rsidRPr="009548E1" w:rsidRDefault="00293F62" w:rsidP="005C7D38">
            <w:pPr>
              <w:rPr>
                <w:sz w:val="16"/>
                <w:szCs w:val="16"/>
              </w:rPr>
            </w:pPr>
            <w:r w:rsidRPr="009548E1">
              <w:rPr>
                <w:sz w:val="16"/>
                <w:szCs w:val="16"/>
              </w:rPr>
              <w:t> </w:t>
            </w:r>
          </w:p>
        </w:tc>
        <w:tc>
          <w:tcPr>
            <w:tcW w:w="992" w:type="dxa"/>
            <w:tcBorders>
              <w:top w:val="nil"/>
              <w:left w:val="nil"/>
              <w:bottom w:val="double" w:sz="6" w:space="0" w:color="auto"/>
              <w:right w:val="double" w:sz="6" w:space="0" w:color="auto"/>
            </w:tcBorders>
            <w:shd w:val="clear" w:color="auto" w:fill="auto"/>
            <w:noWrap/>
            <w:vAlign w:val="center"/>
            <w:hideMark/>
          </w:tcPr>
          <w:p w14:paraId="7884A5F9" w14:textId="77777777" w:rsidR="00293F62" w:rsidRPr="009548E1" w:rsidRDefault="00293F62" w:rsidP="005C7D38">
            <w:pPr>
              <w:jc w:val="center"/>
              <w:rPr>
                <w:sz w:val="16"/>
                <w:szCs w:val="16"/>
              </w:rPr>
            </w:pPr>
            <w:r w:rsidRPr="009548E1">
              <w:rPr>
                <w:sz w:val="16"/>
                <w:szCs w:val="16"/>
              </w:rPr>
              <w:t> </w:t>
            </w:r>
          </w:p>
        </w:tc>
        <w:tc>
          <w:tcPr>
            <w:tcW w:w="850" w:type="dxa"/>
            <w:tcBorders>
              <w:top w:val="double" w:sz="6" w:space="0" w:color="auto"/>
              <w:left w:val="nil"/>
              <w:bottom w:val="double" w:sz="6" w:space="0" w:color="auto"/>
              <w:right w:val="double" w:sz="6" w:space="0" w:color="auto"/>
            </w:tcBorders>
            <w:shd w:val="clear" w:color="auto" w:fill="auto"/>
            <w:noWrap/>
            <w:vAlign w:val="center"/>
            <w:hideMark/>
          </w:tcPr>
          <w:p w14:paraId="13E0402A" w14:textId="77777777" w:rsidR="00293F62" w:rsidRPr="009548E1" w:rsidRDefault="00293F62" w:rsidP="005C7D38">
            <w:pPr>
              <w:jc w:val="center"/>
              <w:rPr>
                <w:b/>
                <w:bCs/>
                <w:sz w:val="16"/>
                <w:szCs w:val="16"/>
              </w:rPr>
            </w:pPr>
            <w:r w:rsidRPr="009548E1">
              <w:rPr>
                <w:b/>
                <w:bCs/>
                <w:sz w:val="16"/>
                <w:szCs w:val="16"/>
              </w:rPr>
              <w:t>EUR</w:t>
            </w:r>
          </w:p>
        </w:tc>
        <w:tc>
          <w:tcPr>
            <w:tcW w:w="1560" w:type="dxa"/>
            <w:tcBorders>
              <w:top w:val="double" w:sz="6" w:space="0" w:color="auto"/>
              <w:left w:val="nil"/>
              <w:bottom w:val="double" w:sz="6" w:space="0" w:color="auto"/>
              <w:right w:val="double" w:sz="6" w:space="0" w:color="auto"/>
            </w:tcBorders>
            <w:shd w:val="clear" w:color="auto" w:fill="auto"/>
            <w:noWrap/>
            <w:vAlign w:val="center"/>
            <w:hideMark/>
          </w:tcPr>
          <w:p w14:paraId="1D0A44BB" w14:textId="77777777" w:rsidR="00293F62" w:rsidRPr="009548E1" w:rsidRDefault="00293F62" w:rsidP="005C7D38">
            <w:pPr>
              <w:jc w:val="right"/>
              <w:rPr>
                <w:b/>
                <w:bCs/>
                <w:sz w:val="16"/>
                <w:szCs w:val="16"/>
              </w:rPr>
            </w:pPr>
            <w:r w:rsidRPr="009548E1">
              <w:rPr>
                <w:b/>
                <w:bCs/>
                <w:sz w:val="16"/>
                <w:szCs w:val="16"/>
              </w:rPr>
              <w:t>237.900.621,72</w:t>
            </w:r>
          </w:p>
        </w:tc>
      </w:tr>
    </w:tbl>
    <w:p w14:paraId="2375B1BD" w14:textId="77777777" w:rsidR="00293F62" w:rsidRPr="009548E1" w:rsidRDefault="00293F62" w:rsidP="00293F62">
      <w:pPr>
        <w:keepNext/>
        <w:jc w:val="center"/>
        <w:rPr>
          <w:bCs/>
          <w:sz w:val="28"/>
          <w:szCs w:val="28"/>
        </w:rPr>
      </w:pPr>
    </w:p>
    <w:p w14:paraId="7530657E" w14:textId="77777777" w:rsidR="00293F62" w:rsidRPr="009548E1" w:rsidRDefault="00293F62" w:rsidP="00293F62">
      <w:pPr>
        <w:keepNext/>
        <w:jc w:val="center"/>
        <w:rPr>
          <w:bCs/>
          <w:sz w:val="28"/>
          <w:szCs w:val="28"/>
        </w:rPr>
      </w:pPr>
      <w:r>
        <w:rPr>
          <w:bCs/>
          <w:sz w:val="28"/>
          <w:szCs w:val="28"/>
        </w:rPr>
        <w:t>Bilješka 25</w:t>
      </w:r>
      <w:r w:rsidRPr="009548E1">
        <w:rPr>
          <w:bCs/>
          <w:sz w:val="28"/>
          <w:szCs w:val="28"/>
        </w:rPr>
        <w:t>.</w:t>
      </w:r>
    </w:p>
    <w:p w14:paraId="5CB277B3" w14:textId="77777777" w:rsidR="00293F62" w:rsidRPr="009548E1" w:rsidRDefault="00293F62" w:rsidP="00293F62">
      <w:pPr>
        <w:spacing w:after="240"/>
        <w:jc w:val="center"/>
        <w:rPr>
          <w:bCs/>
          <w:sz w:val="28"/>
          <w:szCs w:val="28"/>
        </w:rPr>
      </w:pPr>
      <w:r w:rsidRPr="009548E1">
        <w:rPr>
          <w:bCs/>
          <w:sz w:val="28"/>
          <w:szCs w:val="28"/>
        </w:rPr>
        <w:t>Šifra 2643 Obveze za kredite od tuzemnih kreditnih institucija izvan javnog sektora</w:t>
      </w:r>
    </w:p>
    <w:p w14:paraId="45A701A4" w14:textId="77777777" w:rsidR="00293F62" w:rsidRPr="009548E1" w:rsidRDefault="00293F62" w:rsidP="00293F62">
      <w:pPr>
        <w:spacing w:after="240"/>
        <w:jc w:val="both"/>
        <w:rPr>
          <w:bCs/>
          <w:sz w:val="28"/>
          <w:szCs w:val="28"/>
        </w:rPr>
      </w:pPr>
      <w:r w:rsidRPr="009548E1">
        <w:rPr>
          <w:color w:val="000000"/>
        </w:rPr>
        <w:t xml:space="preserve">Obveze za kredite od tuzemnih kreditnih institucija izvan javnog sektora na dan 31. prosinca 2023. iznose 2.361.935.572,93 eura i manje su za 15,5% u odnosu na stanje obveza na dan 1. siječnja 2023. godine. Najveći dio u iznosu od 2.344.268.949,59 eura odnosi se na obveze za dugoročne zajmove tuzemnim bankama i ostalim financijskim institucijama izvan javnog sektora. Iznos od 17.662.980,03 eura odnosi se na obveze za kredite sveučilišta čiju otplatu vrši Ministarstvo financija. Naime, Državni ured za reviziju u Izvješću o obavljenoj reviziji Godišnjeg izvještaja o izvršenju Državnog proračuna Republike Hrvatske za 2018. godinu naložio je Ministarstvu financija da obveze po kreditima sveučilišta evidentira u Glavnoj knjizi državnog proračuna te uključi u podatke o dugu državnog proračuna koji se iskazuju u godišnjim izvještajima o izvršenju državnog proračuna, a da ih Ministarstvo znanosti i obrazovanja koje ih je do tada imalo bilančno evidentirano </w:t>
      </w:r>
      <w:proofErr w:type="spellStart"/>
      <w:r w:rsidRPr="009548E1">
        <w:rPr>
          <w:color w:val="000000"/>
        </w:rPr>
        <w:t>isknjiži</w:t>
      </w:r>
      <w:proofErr w:type="spellEnd"/>
      <w:r w:rsidRPr="009548E1">
        <w:rPr>
          <w:color w:val="000000"/>
        </w:rPr>
        <w:t xml:space="preserve"> iz svojih poslovnih knjiga. Slijedom navedenog Ministarstvo znanosti i obrazovanja s danom 31. prosinca 2019. </w:t>
      </w:r>
      <w:proofErr w:type="spellStart"/>
      <w:r w:rsidRPr="009548E1">
        <w:rPr>
          <w:color w:val="000000"/>
        </w:rPr>
        <w:t>isknjižilo</w:t>
      </w:r>
      <w:proofErr w:type="spellEnd"/>
      <w:r w:rsidRPr="009548E1">
        <w:rPr>
          <w:color w:val="000000"/>
        </w:rPr>
        <w:t xml:space="preserve"> je navedene obveze iz svoje Glavne knjige te  ih nadalje vodi </w:t>
      </w:r>
      <w:proofErr w:type="spellStart"/>
      <w:r w:rsidRPr="009548E1">
        <w:rPr>
          <w:color w:val="000000"/>
        </w:rPr>
        <w:t>izvanbilančno</w:t>
      </w:r>
      <w:proofErr w:type="spellEnd"/>
      <w:r w:rsidRPr="009548E1">
        <w:rPr>
          <w:color w:val="000000"/>
        </w:rPr>
        <w:t>, a do kraja otplate kredita zadržava svu dokumentaciju vezanu uz kredite te Ministarstvu financija dostavlja podatke o stanju predmetnih obveza po kreditima sveučilišta u Zagrebu, Splitu, Osijeku, Rijeci i Dubrovniku u skladu s nalogom Državnog ureda za reviziju, a koji se evidentiraju u Glavnoj knjizi državnog proračuna.</w:t>
      </w:r>
    </w:p>
    <w:p w14:paraId="32F6D4D5" w14:textId="77777777" w:rsidR="00293F62" w:rsidRPr="009548E1" w:rsidRDefault="00293F62" w:rsidP="00293F62">
      <w:pPr>
        <w:jc w:val="both"/>
        <w:rPr>
          <w:color w:val="000000"/>
        </w:rPr>
      </w:pPr>
      <w:r w:rsidRPr="009548E1">
        <w:rPr>
          <w:color w:val="000000"/>
        </w:rPr>
        <w:t>Analitika obveza za kredite od tuzemnih financijskih institucija izvan javnog sektora u iznosu od 2.344.268.</w:t>
      </w:r>
      <w:r>
        <w:rPr>
          <w:color w:val="000000"/>
        </w:rPr>
        <w:t>949,59 eura daje se u Tablici 11</w:t>
      </w:r>
      <w:r w:rsidRPr="009548E1">
        <w:rPr>
          <w:color w:val="000000"/>
        </w:rPr>
        <w:t>.</w:t>
      </w:r>
    </w:p>
    <w:p w14:paraId="424FCA91" w14:textId="77777777" w:rsidR="00293F62" w:rsidRPr="009548E1" w:rsidRDefault="00293F62" w:rsidP="00293F62">
      <w:pPr>
        <w:jc w:val="both"/>
        <w:rPr>
          <w:color w:val="000000"/>
        </w:rPr>
      </w:pPr>
    </w:p>
    <w:p w14:paraId="0A1AF8B1" w14:textId="77777777" w:rsidR="00293F62" w:rsidRPr="009548E1" w:rsidRDefault="00293F62" w:rsidP="00293F62">
      <w:pPr>
        <w:keepNext/>
        <w:jc w:val="both"/>
        <w:rPr>
          <w:b/>
          <w:sz w:val="20"/>
          <w:szCs w:val="20"/>
        </w:rPr>
      </w:pPr>
      <w:r>
        <w:rPr>
          <w:b/>
          <w:sz w:val="20"/>
          <w:szCs w:val="20"/>
        </w:rPr>
        <w:t>Tablica 11</w:t>
      </w:r>
      <w:r w:rsidRPr="009548E1">
        <w:rPr>
          <w:b/>
          <w:sz w:val="20"/>
          <w:szCs w:val="20"/>
        </w:rPr>
        <w:t>.</w:t>
      </w:r>
      <w:r>
        <w:rPr>
          <w:b/>
          <w:sz w:val="20"/>
          <w:szCs w:val="20"/>
        </w:rPr>
        <w:t xml:space="preserve"> Pregled obveza za kredite od tuzemnih financijskih institucija izvan javnog sektora</w:t>
      </w:r>
    </w:p>
    <w:tbl>
      <w:tblPr>
        <w:tblW w:w="7933" w:type="dxa"/>
        <w:jc w:val="center"/>
        <w:tblLook w:val="04A0" w:firstRow="1" w:lastRow="0" w:firstColumn="1" w:lastColumn="0" w:noHBand="0" w:noVBand="1"/>
      </w:tblPr>
      <w:tblGrid>
        <w:gridCol w:w="910"/>
        <w:gridCol w:w="3338"/>
        <w:gridCol w:w="1185"/>
        <w:gridCol w:w="1083"/>
        <w:gridCol w:w="1701"/>
      </w:tblGrid>
      <w:tr w:rsidR="00293F62" w:rsidRPr="009548E1" w14:paraId="44AE1FB1" w14:textId="77777777" w:rsidTr="005C7D38">
        <w:trPr>
          <w:trHeight w:val="420"/>
          <w:jc w:val="center"/>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353E0" w14:textId="77777777" w:rsidR="00293F62" w:rsidRPr="009548E1" w:rsidRDefault="00293F62" w:rsidP="005C7D38">
            <w:pPr>
              <w:jc w:val="center"/>
              <w:rPr>
                <w:b/>
                <w:bCs/>
                <w:sz w:val="20"/>
                <w:szCs w:val="20"/>
              </w:rPr>
            </w:pPr>
            <w:r w:rsidRPr="009548E1">
              <w:rPr>
                <w:b/>
                <w:bCs/>
                <w:sz w:val="20"/>
                <w:szCs w:val="20"/>
              </w:rPr>
              <w:t>Red. broj</w:t>
            </w:r>
          </w:p>
        </w:tc>
        <w:tc>
          <w:tcPr>
            <w:tcW w:w="3338" w:type="dxa"/>
            <w:tcBorders>
              <w:top w:val="single" w:sz="4" w:space="0" w:color="auto"/>
              <w:left w:val="nil"/>
              <w:bottom w:val="single" w:sz="4" w:space="0" w:color="auto"/>
              <w:right w:val="single" w:sz="4" w:space="0" w:color="auto"/>
            </w:tcBorders>
            <w:shd w:val="clear" w:color="auto" w:fill="auto"/>
            <w:noWrap/>
            <w:vAlign w:val="center"/>
            <w:hideMark/>
          </w:tcPr>
          <w:p w14:paraId="2B758D58" w14:textId="77777777" w:rsidR="00293F62" w:rsidRPr="009548E1" w:rsidRDefault="00293F62" w:rsidP="005C7D38">
            <w:pPr>
              <w:jc w:val="center"/>
              <w:rPr>
                <w:b/>
                <w:bCs/>
                <w:sz w:val="20"/>
                <w:szCs w:val="20"/>
              </w:rPr>
            </w:pPr>
            <w:r w:rsidRPr="009548E1">
              <w:rPr>
                <w:b/>
                <w:bCs/>
                <w:sz w:val="20"/>
                <w:szCs w:val="20"/>
              </w:rPr>
              <w:t>Namjena</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57BC420F" w14:textId="77777777" w:rsidR="00293F62" w:rsidRPr="009548E1" w:rsidRDefault="00293F62" w:rsidP="005C7D38">
            <w:pPr>
              <w:jc w:val="center"/>
              <w:rPr>
                <w:b/>
                <w:bCs/>
                <w:sz w:val="20"/>
                <w:szCs w:val="20"/>
              </w:rPr>
            </w:pPr>
            <w:r w:rsidRPr="009548E1">
              <w:rPr>
                <w:b/>
                <w:bCs/>
                <w:sz w:val="20"/>
                <w:szCs w:val="20"/>
              </w:rPr>
              <w:t>Banka</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6C3F1229" w14:textId="77777777" w:rsidR="00293F62" w:rsidRPr="009548E1" w:rsidRDefault="00293F62" w:rsidP="005C7D38">
            <w:pPr>
              <w:jc w:val="center"/>
              <w:rPr>
                <w:b/>
                <w:bCs/>
                <w:sz w:val="20"/>
                <w:szCs w:val="20"/>
              </w:rPr>
            </w:pPr>
            <w:r w:rsidRPr="009548E1">
              <w:rPr>
                <w:b/>
                <w:bCs/>
                <w:sz w:val="20"/>
                <w:szCs w:val="20"/>
              </w:rPr>
              <w:t>Valuta</w:t>
            </w:r>
          </w:p>
        </w:tc>
        <w:tc>
          <w:tcPr>
            <w:tcW w:w="1701" w:type="dxa"/>
            <w:tcBorders>
              <w:top w:val="single" w:sz="4" w:space="0" w:color="auto"/>
              <w:left w:val="nil"/>
              <w:bottom w:val="nil"/>
              <w:right w:val="single" w:sz="4" w:space="0" w:color="auto"/>
            </w:tcBorders>
            <w:shd w:val="clear" w:color="auto" w:fill="auto"/>
            <w:vAlign w:val="center"/>
            <w:hideMark/>
          </w:tcPr>
          <w:p w14:paraId="4AA8B17F" w14:textId="77777777" w:rsidR="00293F62" w:rsidRPr="009548E1" w:rsidRDefault="00293F62" w:rsidP="005C7D38">
            <w:pPr>
              <w:jc w:val="center"/>
              <w:rPr>
                <w:b/>
                <w:bCs/>
                <w:sz w:val="20"/>
                <w:szCs w:val="20"/>
              </w:rPr>
            </w:pPr>
            <w:r w:rsidRPr="009548E1">
              <w:rPr>
                <w:b/>
                <w:bCs/>
                <w:sz w:val="20"/>
                <w:szCs w:val="20"/>
              </w:rPr>
              <w:t>Stanje obveza na 31.12.2023.</w:t>
            </w:r>
          </w:p>
        </w:tc>
      </w:tr>
      <w:tr w:rsidR="00293F62" w:rsidRPr="009548E1" w14:paraId="72599F26" w14:textId="77777777" w:rsidTr="005C7D38">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670298DF" w14:textId="77777777" w:rsidR="00293F62" w:rsidRPr="009548E1" w:rsidRDefault="00293F62" w:rsidP="005C7D38">
            <w:pPr>
              <w:jc w:val="center"/>
              <w:rPr>
                <w:sz w:val="16"/>
                <w:szCs w:val="16"/>
              </w:rPr>
            </w:pPr>
            <w:r w:rsidRPr="009548E1">
              <w:rPr>
                <w:sz w:val="16"/>
                <w:szCs w:val="16"/>
              </w:rPr>
              <w:t>1.</w:t>
            </w:r>
          </w:p>
        </w:tc>
        <w:tc>
          <w:tcPr>
            <w:tcW w:w="3338" w:type="dxa"/>
            <w:tcBorders>
              <w:top w:val="nil"/>
              <w:left w:val="nil"/>
              <w:bottom w:val="single" w:sz="4" w:space="0" w:color="auto"/>
              <w:right w:val="single" w:sz="4" w:space="0" w:color="auto"/>
            </w:tcBorders>
            <w:shd w:val="clear" w:color="auto" w:fill="auto"/>
            <w:noWrap/>
            <w:vAlign w:val="center"/>
            <w:hideMark/>
          </w:tcPr>
          <w:p w14:paraId="69AF9F77" w14:textId="77777777" w:rsidR="00293F62" w:rsidRPr="009548E1" w:rsidRDefault="00293F62" w:rsidP="005C7D38">
            <w:pPr>
              <w:rPr>
                <w:sz w:val="16"/>
                <w:szCs w:val="16"/>
              </w:rPr>
            </w:pPr>
            <w:r w:rsidRPr="009548E1">
              <w:rPr>
                <w:sz w:val="16"/>
                <w:szCs w:val="16"/>
              </w:rPr>
              <w:t>KBC 2007 (HRK 572,8) F-022-07</w:t>
            </w:r>
          </w:p>
        </w:tc>
        <w:tc>
          <w:tcPr>
            <w:tcW w:w="901" w:type="dxa"/>
            <w:tcBorders>
              <w:top w:val="nil"/>
              <w:left w:val="nil"/>
              <w:bottom w:val="single" w:sz="4" w:space="0" w:color="auto"/>
              <w:right w:val="single" w:sz="4" w:space="0" w:color="auto"/>
            </w:tcBorders>
            <w:shd w:val="clear" w:color="auto" w:fill="auto"/>
            <w:noWrap/>
            <w:vAlign w:val="center"/>
            <w:hideMark/>
          </w:tcPr>
          <w:p w14:paraId="11858D1F" w14:textId="77777777" w:rsidR="00293F62" w:rsidRPr="009548E1" w:rsidRDefault="00293F62" w:rsidP="005C7D38">
            <w:pPr>
              <w:jc w:val="center"/>
              <w:rPr>
                <w:sz w:val="16"/>
                <w:szCs w:val="16"/>
              </w:rPr>
            </w:pPr>
            <w:r w:rsidRPr="009548E1">
              <w:rPr>
                <w:sz w:val="16"/>
                <w:szCs w:val="16"/>
              </w:rPr>
              <w:t>PBZ</w:t>
            </w:r>
          </w:p>
        </w:tc>
        <w:tc>
          <w:tcPr>
            <w:tcW w:w="1083" w:type="dxa"/>
            <w:tcBorders>
              <w:top w:val="nil"/>
              <w:left w:val="nil"/>
              <w:bottom w:val="nil"/>
              <w:right w:val="single" w:sz="4" w:space="0" w:color="auto"/>
            </w:tcBorders>
            <w:shd w:val="clear" w:color="auto" w:fill="auto"/>
            <w:noWrap/>
            <w:vAlign w:val="center"/>
            <w:hideMark/>
          </w:tcPr>
          <w:p w14:paraId="4B839F86" w14:textId="77777777" w:rsidR="00293F62" w:rsidRPr="009548E1" w:rsidRDefault="00293F62" w:rsidP="005C7D38">
            <w:pPr>
              <w:jc w:val="center"/>
              <w:rPr>
                <w:sz w:val="16"/>
                <w:szCs w:val="16"/>
              </w:rPr>
            </w:pPr>
            <w:r w:rsidRPr="009548E1">
              <w:rPr>
                <w:sz w:val="16"/>
                <w:szCs w:val="16"/>
              </w:rPr>
              <w:t>EUR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38BB98A" w14:textId="77777777" w:rsidR="00293F62" w:rsidRPr="009548E1" w:rsidRDefault="00293F62" w:rsidP="005C7D38">
            <w:pPr>
              <w:jc w:val="right"/>
              <w:rPr>
                <w:sz w:val="16"/>
                <w:szCs w:val="16"/>
              </w:rPr>
            </w:pPr>
            <w:r w:rsidRPr="009548E1">
              <w:rPr>
                <w:sz w:val="16"/>
                <w:szCs w:val="16"/>
              </w:rPr>
              <w:t>17.168.411,97</w:t>
            </w:r>
          </w:p>
        </w:tc>
      </w:tr>
      <w:tr w:rsidR="00293F62" w:rsidRPr="009548E1" w14:paraId="028D1F09" w14:textId="77777777" w:rsidTr="005C7D38">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33B6199" w14:textId="77777777" w:rsidR="00293F62" w:rsidRPr="009548E1" w:rsidRDefault="00293F62" w:rsidP="005C7D38">
            <w:pPr>
              <w:jc w:val="center"/>
              <w:rPr>
                <w:sz w:val="16"/>
                <w:szCs w:val="16"/>
              </w:rPr>
            </w:pPr>
            <w:r w:rsidRPr="009548E1">
              <w:rPr>
                <w:sz w:val="16"/>
                <w:szCs w:val="16"/>
              </w:rPr>
              <w:t>2.</w:t>
            </w:r>
          </w:p>
        </w:tc>
        <w:tc>
          <w:tcPr>
            <w:tcW w:w="3338" w:type="dxa"/>
            <w:tcBorders>
              <w:top w:val="nil"/>
              <w:left w:val="nil"/>
              <w:bottom w:val="nil"/>
              <w:right w:val="single" w:sz="4" w:space="0" w:color="auto"/>
            </w:tcBorders>
            <w:shd w:val="clear" w:color="auto" w:fill="auto"/>
            <w:noWrap/>
            <w:vAlign w:val="center"/>
            <w:hideMark/>
          </w:tcPr>
          <w:p w14:paraId="481C20E5" w14:textId="77777777" w:rsidR="00293F62" w:rsidRPr="009548E1" w:rsidRDefault="00293F62" w:rsidP="005C7D38">
            <w:pPr>
              <w:rPr>
                <w:sz w:val="16"/>
                <w:szCs w:val="16"/>
              </w:rPr>
            </w:pPr>
            <w:r w:rsidRPr="009548E1">
              <w:rPr>
                <w:sz w:val="16"/>
                <w:szCs w:val="16"/>
              </w:rPr>
              <w:t xml:space="preserve">ERSTE HRK 1,8 </w:t>
            </w:r>
            <w:proofErr w:type="spellStart"/>
            <w:r w:rsidRPr="009548E1">
              <w:rPr>
                <w:sz w:val="16"/>
                <w:szCs w:val="16"/>
              </w:rPr>
              <w:t>mlrd</w:t>
            </w:r>
            <w:proofErr w:type="spellEnd"/>
            <w:r w:rsidRPr="009548E1">
              <w:rPr>
                <w:sz w:val="16"/>
                <w:szCs w:val="16"/>
              </w:rPr>
              <w:t>. D 2025</w:t>
            </w:r>
          </w:p>
        </w:tc>
        <w:tc>
          <w:tcPr>
            <w:tcW w:w="901" w:type="dxa"/>
            <w:tcBorders>
              <w:top w:val="nil"/>
              <w:left w:val="nil"/>
              <w:bottom w:val="nil"/>
              <w:right w:val="single" w:sz="4" w:space="0" w:color="auto"/>
            </w:tcBorders>
            <w:shd w:val="clear" w:color="auto" w:fill="auto"/>
            <w:noWrap/>
            <w:vAlign w:val="center"/>
            <w:hideMark/>
          </w:tcPr>
          <w:p w14:paraId="7A26C3D6" w14:textId="77777777" w:rsidR="00293F62" w:rsidRPr="009548E1" w:rsidRDefault="00293F62" w:rsidP="005C7D38">
            <w:pPr>
              <w:jc w:val="center"/>
              <w:rPr>
                <w:sz w:val="16"/>
                <w:szCs w:val="16"/>
              </w:rPr>
            </w:pPr>
            <w:r w:rsidRPr="009548E1">
              <w:rPr>
                <w:sz w:val="16"/>
                <w:szCs w:val="16"/>
              </w:rPr>
              <w:t xml:space="preserve">Erste </w:t>
            </w:r>
            <w:proofErr w:type="spellStart"/>
            <w:r w:rsidRPr="009548E1">
              <w:rPr>
                <w:sz w:val="16"/>
                <w:szCs w:val="16"/>
              </w:rPr>
              <w:t>bank</w:t>
            </w:r>
            <w:proofErr w:type="spellEnd"/>
            <w:r w:rsidRPr="009548E1">
              <w:rPr>
                <w:sz w:val="16"/>
                <w:szCs w:val="16"/>
              </w:rPr>
              <w:t xml:space="preserve"> </w:t>
            </w:r>
          </w:p>
        </w:tc>
        <w:tc>
          <w:tcPr>
            <w:tcW w:w="1083" w:type="dxa"/>
            <w:tcBorders>
              <w:top w:val="single" w:sz="4" w:space="0" w:color="auto"/>
              <w:left w:val="nil"/>
              <w:bottom w:val="nil"/>
              <w:right w:val="single" w:sz="4" w:space="0" w:color="auto"/>
            </w:tcBorders>
            <w:shd w:val="clear" w:color="auto" w:fill="auto"/>
            <w:noWrap/>
            <w:vAlign w:val="center"/>
            <w:hideMark/>
          </w:tcPr>
          <w:p w14:paraId="3C33CFFE" w14:textId="77777777" w:rsidR="00293F62" w:rsidRPr="009548E1" w:rsidRDefault="00293F62" w:rsidP="005C7D38">
            <w:pPr>
              <w:jc w:val="center"/>
              <w:rPr>
                <w:sz w:val="16"/>
                <w:szCs w:val="16"/>
              </w:rPr>
            </w:pPr>
            <w:r w:rsidRPr="009548E1">
              <w:rPr>
                <w:sz w:val="16"/>
                <w:szCs w:val="16"/>
              </w:rPr>
              <w:t>EUR</w:t>
            </w:r>
          </w:p>
        </w:tc>
        <w:tc>
          <w:tcPr>
            <w:tcW w:w="1701" w:type="dxa"/>
            <w:tcBorders>
              <w:top w:val="nil"/>
              <w:left w:val="nil"/>
              <w:bottom w:val="single" w:sz="4" w:space="0" w:color="auto"/>
              <w:right w:val="single" w:sz="4" w:space="0" w:color="auto"/>
            </w:tcBorders>
            <w:shd w:val="clear" w:color="auto" w:fill="auto"/>
            <w:noWrap/>
            <w:vAlign w:val="center"/>
            <w:hideMark/>
          </w:tcPr>
          <w:p w14:paraId="2ABF28CE" w14:textId="77777777" w:rsidR="00293F62" w:rsidRPr="009548E1" w:rsidRDefault="00293F62" w:rsidP="005C7D38">
            <w:pPr>
              <w:jc w:val="right"/>
              <w:rPr>
                <w:sz w:val="16"/>
                <w:szCs w:val="16"/>
              </w:rPr>
            </w:pPr>
            <w:r w:rsidRPr="009548E1">
              <w:rPr>
                <w:sz w:val="16"/>
                <w:szCs w:val="16"/>
              </w:rPr>
              <w:t>238.901.055,15</w:t>
            </w:r>
          </w:p>
        </w:tc>
      </w:tr>
      <w:tr w:rsidR="00293F62" w:rsidRPr="009548E1" w14:paraId="3E77623E" w14:textId="77777777" w:rsidTr="005C7D38">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AEC5895" w14:textId="77777777" w:rsidR="00293F62" w:rsidRPr="009548E1" w:rsidRDefault="00293F62" w:rsidP="005C7D38">
            <w:pPr>
              <w:jc w:val="center"/>
              <w:rPr>
                <w:sz w:val="16"/>
                <w:szCs w:val="16"/>
              </w:rPr>
            </w:pPr>
            <w:r w:rsidRPr="009548E1">
              <w:rPr>
                <w:sz w:val="16"/>
                <w:szCs w:val="16"/>
              </w:rPr>
              <w:t>3.</w:t>
            </w:r>
          </w:p>
        </w:tc>
        <w:tc>
          <w:tcPr>
            <w:tcW w:w="3338" w:type="dxa"/>
            <w:tcBorders>
              <w:top w:val="single" w:sz="4" w:space="0" w:color="auto"/>
              <w:left w:val="nil"/>
              <w:bottom w:val="single" w:sz="4" w:space="0" w:color="auto"/>
              <w:right w:val="single" w:sz="4" w:space="0" w:color="auto"/>
            </w:tcBorders>
            <w:shd w:val="clear" w:color="auto" w:fill="auto"/>
            <w:noWrap/>
            <w:vAlign w:val="center"/>
            <w:hideMark/>
          </w:tcPr>
          <w:p w14:paraId="580F54CD" w14:textId="77777777" w:rsidR="00293F62" w:rsidRPr="009548E1" w:rsidRDefault="00293F62" w:rsidP="005C7D38">
            <w:pPr>
              <w:rPr>
                <w:sz w:val="16"/>
                <w:szCs w:val="16"/>
              </w:rPr>
            </w:pPr>
            <w:r w:rsidRPr="009548E1">
              <w:rPr>
                <w:sz w:val="16"/>
                <w:szCs w:val="16"/>
              </w:rPr>
              <w:t xml:space="preserve">OTP HRK 800 </w:t>
            </w:r>
            <w:proofErr w:type="spellStart"/>
            <w:r w:rsidRPr="009548E1">
              <w:rPr>
                <w:sz w:val="16"/>
                <w:szCs w:val="16"/>
              </w:rPr>
              <w:t>mil</w:t>
            </w:r>
            <w:proofErr w:type="spellEnd"/>
            <w:r w:rsidRPr="009548E1">
              <w:rPr>
                <w:sz w:val="16"/>
                <w:szCs w:val="16"/>
              </w:rPr>
              <w:t>. D-2025</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5F351303" w14:textId="77777777" w:rsidR="00293F62" w:rsidRPr="009548E1" w:rsidRDefault="00293F62" w:rsidP="005C7D38">
            <w:pPr>
              <w:jc w:val="center"/>
              <w:rPr>
                <w:sz w:val="16"/>
                <w:szCs w:val="16"/>
              </w:rPr>
            </w:pPr>
            <w:r w:rsidRPr="009548E1">
              <w:rPr>
                <w:sz w:val="16"/>
                <w:szCs w:val="16"/>
              </w:rPr>
              <w:t>OTP banka</w:t>
            </w:r>
          </w:p>
        </w:tc>
        <w:tc>
          <w:tcPr>
            <w:tcW w:w="1083" w:type="dxa"/>
            <w:tcBorders>
              <w:top w:val="single" w:sz="4" w:space="0" w:color="auto"/>
              <w:left w:val="nil"/>
              <w:bottom w:val="nil"/>
              <w:right w:val="single" w:sz="4" w:space="0" w:color="auto"/>
            </w:tcBorders>
            <w:shd w:val="clear" w:color="auto" w:fill="auto"/>
            <w:noWrap/>
            <w:vAlign w:val="center"/>
            <w:hideMark/>
          </w:tcPr>
          <w:p w14:paraId="1227526E" w14:textId="77777777" w:rsidR="00293F62" w:rsidRPr="009548E1" w:rsidRDefault="00293F62" w:rsidP="005C7D38">
            <w:pPr>
              <w:jc w:val="center"/>
              <w:rPr>
                <w:sz w:val="16"/>
                <w:szCs w:val="16"/>
              </w:rPr>
            </w:pPr>
            <w:r w:rsidRPr="009548E1">
              <w:rPr>
                <w:sz w:val="16"/>
                <w:szCs w:val="16"/>
              </w:rPr>
              <w:t>EUR</w:t>
            </w:r>
          </w:p>
        </w:tc>
        <w:tc>
          <w:tcPr>
            <w:tcW w:w="1701" w:type="dxa"/>
            <w:tcBorders>
              <w:top w:val="nil"/>
              <w:left w:val="nil"/>
              <w:bottom w:val="single" w:sz="4" w:space="0" w:color="auto"/>
              <w:right w:val="single" w:sz="4" w:space="0" w:color="auto"/>
            </w:tcBorders>
            <w:shd w:val="clear" w:color="auto" w:fill="auto"/>
            <w:noWrap/>
            <w:vAlign w:val="center"/>
            <w:hideMark/>
          </w:tcPr>
          <w:p w14:paraId="0991EE80" w14:textId="77777777" w:rsidR="00293F62" w:rsidRPr="009548E1" w:rsidRDefault="00293F62" w:rsidP="005C7D38">
            <w:pPr>
              <w:jc w:val="right"/>
              <w:rPr>
                <w:sz w:val="16"/>
                <w:szCs w:val="16"/>
              </w:rPr>
            </w:pPr>
            <w:r w:rsidRPr="009548E1">
              <w:rPr>
                <w:sz w:val="16"/>
                <w:szCs w:val="16"/>
              </w:rPr>
              <w:t>106.178.246,73</w:t>
            </w:r>
          </w:p>
        </w:tc>
      </w:tr>
      <w:tr w:rsidR="00293F62" w:rsidRPr="009548E1" w14:paraId="07F294D3" w14:textId="77777777" w:rsidTr="005C7D38">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0500B1C7" w14:textId="77777777" w:rsidR="00293F62" w:rsidRPr="009548E1" w:rsidRDefault="00293F62" w:rsidP="005C7D38">
            <w:pPr>
              <w:jc w:val="center"/>
              <w:rPr>
                <w:sz w:val="16"/>
                <w:szCs w:val="16"/>
              </w:rPr>
            </w:pPr>
            <w:r w:rsidRPr="009548E1">
              <w:rPr>
                <w:sz w:val="16"/>
                <w:szCs w:val="16"/>
              </w:rPr>
              <w:t>4.</w:t>
            </w:r>
          </w:p>
        </w:tc>
        <w:tc>
          <w:tcPr>
            <w:tcW w:w="3338" w:type="dxa"/>
            <w:tcBorders>
              <w:top w:val="nil"/>
              <w:left w:val="nil"/>
              <w:bottom w:val="single" w:sz="4" w:space="0" w:color="auto"/>
              <w:right w:val="single" w:sz="4" w:space="0" w:color="auto"/>
            </w:tcBorders>
            <w:shd w:val="clear" w:color="auto" w:fill="auto"/>
            <w:noWrap/>
            <w:vAlign w:val="center"/>
            <w:hideMark/>
          </w:tcPr>
          <w:p w14:paraId="06B0DD30" w14:textId="77777777" w:rsidR="00293F62" w:rsidRPr="009548E1" w:rsidRDefault="00293F62" w:rsidP="005C7D38">
            <w:pPr>
              <w:rPr>
                <w:sz w:val="16"/>
                <w:szCs w:val="16"/>
              </w:rPr>
            </w:pPr>
            <w:r w:rsidRPr="009548E1">
              <w:rPr>
                <w:sz w:val="16"/>
                <w:szCs w:val="16"/>
              </w:rPr>
              <w:t xml:space="preserve">PBZ HRK 1,2 </w:t>
            </w:r>
            <w:proofErr w:type="spellStart"/>
            <w:r w:rsidRPr="009548E1">
              <w:rPr>
                <w:sz w:val="16"/>
                <w:szCs w:val="16"/>
              </w:rPr>
              <w:t>mlrd</w:t>
            </w:r>
            <w:proofErr w:type="spellEnd"/>
            <w:r w:rsidRPr="009548E1">
              <w:rPr>
                <w:sz w:val="16"/>
                <w:szCs w:val="16"/>
              </w:rPr>
              <w:t>. 2020</w:t>
            </w:r>
          </w:p>
        </w:tc>
        <w:tc>
          <w:tcPr>
            <w:tcW w:w="901" w:type="dxa"/>
            <w:tcBorders>
              <w:top w:val="nil"/>
              <w:left w:val="nil"/>
              <w:bottom w:val="single" w:sz="4" w:space="0" w:color="auto"/>
              <w:right w:val="single" w:sz="4" w:space="0" w:color="auto"/>
            </w:tcBorders>
            <w:shd w:val="clear" w:color="auto" w:fill="auto"/>
            <w:noWrap/>
            <w:vAlign w:val="center"/>
            <w:hideMark/>
          </w:tcPr>
          <w:p w14:paraId="4A222F43" w14:textId="77777777" w:rsidR="00293F62" w:rsidRPr="009548E1" w:rsidRDefault="00293F62" w:rsidP="005C7D38">
            <w:pPr>
              <w:jc w:val="center"/>
              <w:rPr>
                <w:sz w:val="16"/>
                <w:szCs w:val="16"/>
              </w:rPr>
            </w:pPr>
            <w:r w:rsidRPr="009548E1">
              <w:rPr>
                <w:sz w:val="16"/>
                <w:szCs w:val="16"/>
              </w:rPr>
              <w:t>PBZ</w:t>
            </w:r>
          </w:p>
        </w:tc>
        <w:tc>
          <w:tcPr>
            <w:tcW w:w="1083" w:type="dxa"/>
            <w:tcBorders>
              <w:top w:val="single" w:sz="4" w:space="0" w:color="auto"/>
              <w:left w:val="nil"/>
              <w:bottom w:val="nil"/>
              <w:right w:val="single" w:sz="4" w:space="0" w:color="auto"/>
            </w:tcBorders>
            <w:shd w:val="clear" w:color="auto" w:fill="auto"/>
            <w:noWrap/>
            <w:vAlign w:val="center"/>
            <w:hideMark/>
          </w:tcPr>
          <w:p w14:paraId="1C7BF95B" w14:textId="77777777" w:rsidR="00293F62" w:rsidRPr="009548E1" w:rsidRDefault="00293F62" w:rsidP="005C7D38">
            <w:pPr>
              <w:jc w:val="center"/>
              <w:rPr>
                <w:sz w:val="16"/>
                <w:szCs w:val="16"/>
              </w:rPr>
            </w:pPr>
            <w:r w:rsidRPr="009548E1">
              <w:rPr>
                <w:sz w:val="16"/>
                <w:szCs w:val="16"/>
              </w:rPr>
              <w:t>EUR</w:t>
            </w:r>
          </w:p>
        </w:tc>
        <w:tc>
          <w:tcPr>
            <w:tcW w:w="1701" w:type="dxa"/>
            <w:tcBorders>
              <w:top w:val="nil"/>
              <w:left w:val="nil"/>
              <w:bottom w:val="single" w:sz="4" w:space="0" w:color="auto"/>
              <w:right w:val="single" w:sz="4" w:space="0" w:color="auto"/>
            </w:tcBorders>
            <w:shd w:val="clear" w:color="auto" w:fill="auto"/>
            <w:noWrap/>
            <w:vAlign w:val="center"/>
            <w:hideMark/>
          </w:tcPr>
          <w:p w14:paraId="5B19CDA2" w14:textId="77777777" w:rsidR="00293F62" w:rsidRPr="009548E1" w:rsidRDefault="00293F62" w:rsidP="005C7D38">
            <w:pPr>
              <w:jc w:val="right"/>
              <w:rPr>
                <w:sz w:val="16"/>
                <w:szCs w:val="16"/>
              </w:rPr>
            </w:pPr>
            <w:r w:rsidRPr="009548E1">
              <w:rPr>
                <w:sz w:val="16"/>
                <w:szCs w:val="16"/>
              </w:rPr>
              <w:t>159.267.370,10</w:t>
            </w:r>
          </w:p>
        </w:tc>
      </w:tr>
      <w:tr w:rsidR="00293F62" w:rsidRPr="009548E1" w14:paraId="68E37B7F" w14:textId="77777777" w:rsidTr="005C7D38">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00441562" w14:textId="77777777" w:rsidR="00293F62" w:rsidRPr="009548E1" w:rsidRDefault="00293F62" w:rsidP="005C7D38">
            <w:pPr>
              <w:jc w:val="center"/>
              <w:rPr>
                <w:sz w:val="16"/>
                <w:szCs w:val="16"/>
              </w:rPr>
            </w:pPr>
            <w:r w:rsidRPr="009548E1">
              <w:rPr>
                <w:sz w:val="16"/>
                <w:szCs w:val="16"/>
              </w:rPr>
              <w:t>5.</w:t>
            </w:r>
          </w:p>
        </w:tc>
        <w:tc>
          <w:tcPr>
            <w:tcW w:w="3338" w:type="dxa"/>
            <w:tcBorders>
              <w:top w:val="nil"/>
              <w:left w:val="nil"/>
              <w:bottom w:val="single" w:sz="4" w:space="0" w:color="auto"/>
              <w:right w:val="single" w:sz="4" w:space="0" w:color="auto"/>
            </w:tcBorders>
            <w:shd w:val="clear" w:color="auto" w:fill="auto"/>
            <w:noWrap/>
            <w:vAlign w:val="center"/>
            <w:hideMark/>
          </w:tcPr>
          <w:p w14:paraId="4EF502F4" w14:textId="77777777" w:rsidR="00293F62" w:rsidRPr="009548E1" w:rsidRDefault="00293F62" w:rsidP="005C7D38">
            <w:pPr>
              <w:rPr>
                <w:sz w:val="16"/>
                <w:szCs w:val="16"/>
              </w:rPr>
            </w:pPr>
            <w:r w:rsidRPr="009548E1">
              <w:rPr>
                <w:sz w:val="16"/>
                <w:szCs w:val="16"/>
              </w:rPr>
              <w:t xml:space="preserve">ZABA HRK 750 </w:t>
            </w:r>
            <w:proofErr w:type="spellStart"/>
            <w:r w:rsidRPr="009548E1">
              <w:rPr>
                <w:sz w:val="16"/>
                <w:szCs w:val="16"/>
              </w:rPr>
              <w:t>mil</w:t>
            </w:r>
            <w:proofErr w:type="spellEnd"/>
            <w:r w:rsidRPr="009548E1">
              <w:rPr>
                <w:sz w:val="16"/>
                <w:szCs w:val="16"/>
              </w:rPr>
              <w:t xml:space="preserve">. D-2025 </w:t>
            </w:r>
          </w:p>
        </w:tc>
        <w:tc>
          <w:tcPr>
            <w:tcW w:w="901" w:type="dxa"/>
            <w:tcBorders>
              <w:top w:val="nil"/>
              <w:left w:val="nil"/>
              <w:bottom w:val="single" w:sz="4" w:space="0" w:color="auto"/>
              <w:right w:val="single" w:sz="4" w:space="0" w:color="auto"/>
            </w:tcBorders>
            <w:shd w:val="clear" w:color="auto" w:fill="auto"/>
            <w:noWrap/>
            <w:vAlign w:val="center"/>
            <w:hideMark/>
          </w:tcPr>
          <w:p w14:paraId="287F26E1" w14:textId="77777777" w:rsidR="00293F62" w:rsidRPr="009548E1" w:rsidRDefault="00293F62" w:rsidP="005C7D38">
            <w:pPr>
              <w:jc w:val="center"/>
              <w:rPr>
                <w:sz w:val="16"/>
                <w:szCs w:val="16"/>
              </w:rPr>
            </w:pPr>
            <w:r w:rsidRPr="009548E1">
              <w:rPr>
                <w:sz w:val="16"/>
                <w:szCs w:val="16"/>
              </w:rPr>
              <w:t>ZABA</w:t>
            </w:r>
          </w:p>
        </w:tc>
        <w:tc>
          <w:tcPr>
            <w:tcW w:w="1083" w:type="dxa"/>
            <w:tcBorders>
              <w:top w:val="single" w:sz="4" w:space="0" w:color="auto"/>
              <w:left w:val="nil"/>
              <w:bottom w:val="nil"/>
              <w:right w:val="single" w:sz="4" w:space="0" w:color="auto"/>
            </w:tcBorders>
            <w:shd w:val="clear" w:color="auto" w:fill="auto"/>
            <w:noWrap/>
            <w:vAlign w:val="center"/>
            <w:hideMark/>
          </w:tcPr>
          <w:p w14:paraId="31035E9B" w14:textId="77777777" w:rsidR="00293F62" w:rsidRPr="009548E1" w:rsidRDefault="00293F62" w:rsidP="005C7D38">
            <w:pPr>
              <w:jc w:val="center"/>
              <w:rPr>
                <w:sz w:val="16"/>
                <w:szCs w:val="16"/>
              </w:rPr>
            </w:pPr>
            <w:r w:rsidRPr="009548E1">
              <w:rPr>
                <w:sz w:val="16"/>
                <w:szCs w:val="16"/>
              </w:rPr>
              <w:t>EUR</w:t>
            </w:r>
          </w:p>
        </w:tc>
        <w:tc>
          <w:tcPr>
            <w:tcW w:w="1701" w:type="dxa"/>
            <w:tcBorders>
              <w:top w:val="nil"/>
              <w:left w:val="nil"/>
              <w:bottom w:val="single" w:sz="4" w:space="0" w:color="auto"/>
              <w:right w:val="single" w:sz="4" w:space="0" w:color="auto"/>
            </w:tcBorders>
            <w:shd w:val="clear" w:color="auto" w:fill="auto"/>
            <w:noWrap/>
            <w:vAlign w:val="center"/>
            <w:hideMark/>
          </w:tcPr>
          <w:p w14:paraId="6951241E" w14:textId="77777777" w:rsidR="00293F62" w:rsidRPr="009548E1" w:rsidRDefault="00293F62" w:rsidP="005C7D38">
            <w:pPr>
              <w:jc w:val="right"/>
              <w:rPr>
                <w:sz w:val="16"/>
                <w:szCs w:val="16"/>
              </w:rPr>
            </w:pPr>
            <w:r w:rsidRPr="009548E1">
              <w:rPr>
                <w:sz w:val="16"/>
                <w:szCs w:val="16"/>
              </w:rPr>
              <w:t>29.862.631,90</w:t>
            </w:r>
          </w:p>
        </w:tc>
      </w:tr>
      <w:tr w:rsidR="00293F62" w:rsidRPr="009548E1" w14:paraId="0A23B58A" w14:textId="77777777" w:rsidTr="005C7D38">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A05A6DA" w14:textId="77777777" w:rsidR="00293F62" w:rsidRPr="009548E1" w:rsidRDefault="00293F62" w:rsidP="005C7D38">
            <w:pPr>
              <w:jc w:val="center"/>
              <w:rPr>
                <w:sz w:val="16"/>
                <w:szCs w:val="16"/>
              </w:rPr>
            </w:pPr>
            <w:r w:rsidRPr="009548E1">
              <w:rPr>
                <w:sz w:val="16"/>
                <w:szCs w:val="16"/>
              </w:rPr>
              <w:t>6.</w:t>
            </w:r>
          </w:p>
        </w:tc>
        <w:tc>
          <w:tcPr>
            <w:tcW w:w="3338" w:type="dxa"/>
            <w:tcBorders>
              <w:top w:val="nil"/>
              <w:left w:val="nil"/>
              <w:bottom w:val="single" w:sz="4" w:space="0" w:color="auto"/>
              <w:right w:val="single" w:sz="4" w:space="0" w:color="auto"/>
            </w:tcBorders>
            <w:shd w:val="clear" w:color="auto" w:fill="auto"/>
            <w:noWrap/>
            <w:vAlign w:val="center"/>
            <w:hideMark/>
          </w:tcPr>
          <w:p w14:paraId="45DEF2BB" w14:textId="77777777" w:rsidR="00293F62" w:rsidRPr="009548E1" w:rsidRDefault="00293F62" w:rsidP="005C7D38">
            <w:pPr>
              <w:rPr>
                <w:sz w:val="16"/>
                <w:szCs w:val="16"/>
              </w:rPr>
            </w:pPr>
            <w:r w:rsidRPr="009548E1">
              <w:rPr>
                <w:sz w:val="16"/>
                <w:szCs w:val="16"/>
              </w:rPr>
              <w:t xml:space="preserve">ZABA kredit 2 </w:t>
            </w:r>
            <w:proofErr w:type="spellStart"/>
            <w:r w:rsidRPr="009548E1">
              <w:rPr>
                <w:sz w:val="16"/>
                <w:szCs w:val="16"/>
              </w:rPr>
              <w:t>mlrd</w:t>
            </w:r>
            <w:proofErr w:type="spellEnd"/>
            <w:r w:rsidRPr="009548E1">
              <w:rPr>
                <w:sz w:val="16"/>
                <w:szCs w:val="16"/>
              </w:rPr>
              <w:t xml:space="preserve"> I HRK 2026</w:t>
            </w:r>
          </w:p>
        </w:tc>
        <w:tc>
          <w:tcPr>
            <w:tcW w:w="901" w:type="dxa"/>
            <w:tcBorders>
              <w:top w:val="nil"/>
              <w:left w:val="nil"/>
              <w:bottom w:val="single" w:sz="4" w:space="0" w:color="auto"/>
              <w:right w:val="single" w:sz="4" w:space="0" w:color="auto"/>
            </w:tcBorders>
            <w:shd w:val="clear" w:color="auto" w:fill="auto"/>
            <w:noWrap/>
            <w:vAlign w:val="center"/>
            <w:hideMark/>
          </w:tcPr>
          <w:p w14:paraId="1512BB64" w14:textId="77777777" w:rsidR="00293F62" w:rsidRPr="009548E1" w:rsidRDefault="00293F62" w:rsidP="005C7D38">
            <w:pPr>
              <w:jc w:val="center"/>
              <w:rPr>
                <w:sz w:val="16"/>
                <w:szCs w:val="16"/>
              </w:rPr>
            </w:pPr>
            <w:r w:rsidRPr="009548E1">
              <w:rPr>
                <w:sz w:val="16"/>
                <w:szCs w:val="16"/>
              </w:rPr>
              <w:t>ZABA</w:t>
            </w:r>
          </w:p>
        </w:tc>
        <w:tc>
          <w:tcPr>
            <w:tcW w:w="1083" w:type="dxa"/>
            <w:tcBorders>
              <w:top w:val="single" w:sz="4" w:space="0" w:color="auto"/>
              <w:left w:val="nil"/>
              <w:bottom w:val="nil"/>
              <w:right w:val="single" w:sz="4" w:space="0" w:color="auto"/>
            </w:tcBorders>
            <w:shd w:val="clear" w:color="auto" w:fill="auto"/>
            <w:noWrap/>
            <w:vAlign w:val="center"/>
            <w:hideMark/>
          </w:tcPr>
          <w:p w14:paraId="0AAB9B70" w14:textId="77777777" w:rsidR="00293F62" w:rsidRPr="009548E1" w:rsidRDefault="00293F62" w:rsidP="005C7D38">
            <w:pPr>
              <w:jc w:val="center"/>
              <w:rPr>
                <w:sz w:val="16"/>
                <w:szCs w:val="16"/>
              </w:rPr>
            </w:pPr>
            <w:r w:rsidRPr="009548E1">
              <w:rPr>
                <w:sz w:val="16"/>
                <w:szCs w:val="16"/>
              </w:rPr>
              <w:t>EUR</w:t>
            </w:r>
          </w:p>
        </w:tc>
        <w:tc>
          <w:tcPr>
            <w:tcW w:w="1701" w:type="dxa"/>
            <w:tcBorders>
              <w:top w:val="nil"/>
              <w:left w:val="nil"/>
              <w:bottom w:val="single" w:sz="4" w:space="0" w:color="auto"/>
              <w:right w:val="single" w:sz="4" w:space="0" w:color="auto"/>
            </w:tcBorders>
            <w:shd w:val="clear" w:color="auto" w:fill="auto"/>
            <w:noWrap/>
            <w:vAlign w:val="center"/>
            <w:hideMark/>
          </w:tcPr>
          <w:p w14:paraId="7476BC53" w14:textId="77777777" w:rsidR="00293F62" w:rsidRPr="009548E1" w:rsidRDefault="00293F62" w:rsidP="005C7D38">
            <w:pPr>
              <w:jc w:val="right"/>
              <w:rPr>
                <w:sz w:val="16"/>
                <w:szCs w:val="16"/>
              </w:rPr>
            </w:pPr>
            <w:r w:rsidRPr="009548E1">
              <w:rPr>
                <w:sz w:val="16"/>
                <w:szCs w:val="16"/>
              </w:rPr>
              <w:t>132.722.808,43</w:t>
            </w:r>
          </w:p>
        </w:tc>
      </w:tr>
      <w:tr w:rsidR="00293F62" w:rsidRPr="009548E1" w14:paraId="51410F13" w14:textId="77777777" w:rsidTr="005C7D38">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16F82C80" w14:textId="77777777" w:rsidR="00293F62" w:rsidRPr="009548E1" w:rsidRDefault="00293F62" w:rsidP="005C7D38">
            <w:pPr>
              <w:jc w:val="center"/>
              <w:rPr>
                <w:sz w:val="16"/>
                <w:szCs w:val="16"/>
              </w:rPr>
            </w:pPr>
            <w:r w:rsidRPr="009548E1">
              <w:rPr>
                <w:sz w:val="16"/>
                <w:szCs w:val="16"/>
              </w:rPr>
              <w:t>7.</w:t>
            </w:r>
          </w:p>
        </w:tc>
        <w:tc>
          <w:tcPr>
            <w:tcW w:w="3338" w:type="dxa"/>
            <w:tcBorders>
              <w:top w:val="nil"/>
              <w:left w:val="nil"/>
              <w:bottom w:val="single" w:sz="4" w:space="0" w:color="auto"/>
              <w:right w:val="single" w:sz="4" w:space="0" w:color="auto"/>
            </w:tcBorders>
            <w:shd w:val="clear" w:color="auto" w:fill="auto"/>
            <w:noWrap/>
            <w:vAlign w:val="center"/>
            <w:hideMark/>
          </w:tcPr>
          <w:p w14:paraId="49CFFB46" w14:textId="77777777" w:rsidR="00293F62" w:rsidRPr="009548E1" w:rsidRDefault="00293F62" w:rsidP="005C7D38">
            <w:pPr>
              <w:rPr>
                <w:sz w:val="16"/>
                <w:szCs w:val="16"/>
              </w:rPr>
            </w:pPr>
            <w:r w:rsidRPr="009548E1">
              <w:rPr>
                <w:sz w:val="16"/>
                <w:szCs w:val="16"/>
              </w:rPr>
              <w:t xml:space="preserve">ZABA kredit 3 </w:t>
            </w:r>
            <w:proofErr w:type="spellStart"/>
            <w:r w:rsidRPr="009548E1">
              <w:rPr>
                <w:sz w:val="16"/>
                <w:szCs w:val="16"/>
              </w:rPr>
              <w:t>mlrd</w:t>
            </w:r>
            <w:proofErr w:type="spellEnd"/>
            <w:r w:rsidRPr="009548E1">
              <w:rPr>
                <w:sz w:val="16"/>
                <w:szCs w:val="16"/>
              </w:rPr>
              <w:t xml:space="preserve"> I HRK 2026</w:t>
            </w:r>
          </w:p>
        </w:tc>
        <w:tc>
          <w:tcPr>
            <w:tcW w:w="901" w:type="dxa"/>
            <w:tcBorders>
              <w:top w:val="nil"/>
              <w:left w:val="nil"/>
              <w:bottom w:val="single" w:sz="4" w:space="0" w:color="auto"/>
              <w:right w:val="single" w:sz="4" w:space="0" w:color="auto"/>
            </w:tcBorders>
            <w:shd w:val="clear" w:color="auto" w:fill="auto"/>
            <w:noWrap/>
            <w:vAlign w:val="center"/>
            <w:hideMark/>
          </w:tcPr>
          <w:p w14:paraId="4AE77EED" w14:textId="77777777" w:rsidR="00293F62" w:rsidRPr="009548E1" w:rsidRDefault="00293F62" w:rsidP="005C7D38">
            <w:pPr>
              <w:jc w:val="center"/>
              <w:rPr>
                <w:sz w:val="16"/>
                <w:szCs w:val="16"/>
              </w:rPr>
            </w:pPr>
            <w:r w:rsidRPr="009548E1">
              <w:rPr>
                <w:sz w:val="16"/>
                <w:szCs w:val="16"/>
              </w:rPr>
              <w:t>ZABA</w:t>
            </w:r>
          </w:p>
        </w:tc>
        <w:tc>
          <w:tcPr>
            <w:tcW w:w="1083" w:type="dxa"/>
            <w:tcBorders>
              <w:top w:val="single" w:sz="4" w:space="0" w:color="auto"/>
              <w:left w:val="nil"/>
              <w:bottom w:val="nil"/>
              <w:right w:val="single" w:sz="4" w:space="0" w:color="auto"/>
            </w:tcBorders>
            <w:shd w:val="clear" w:color="auto" w:fill="auto"/>
            <w:noWrap/>
            <w:vAlign w:val="center"/>
            <w:hideMark/>
          </w:tcPr>
          <w:p w14:paraId="2DFD236A" w14:textId="77777777" w:rsidR="00293F62" w:rsidRPr="009548E1" w:rsidRDefault="00293F62" w:rsidP="005C7D38">
            <w:pPr>
              <w:jc w:val="center"/>
              <w:rPr>
                <w:sz w:val="16"/>
                <w:szCs w:val="16"/>
              </w:rPr>
            </w:pPr>
            <w:r w:rsidRPr="009548E1">
              <w:rPr>
                <w:sz w:val="16"/>
                <w:szCs w:val="16"/>
              </w:rPr>
              <w:t>EUR</w:t>
            </w:r>
          </w:p>
        </w:tc>
        <w:tc>
          <w:tcPr>
            <w:tcW w:w="1701" w:type="dxa"/>
            <w:tcBorders>
              <w:top w:val="nil"/>
              <w:left w:val="nil"/>
              <w:bottom w:val="single" w:sz="4" w:space="0" w:color="auto"/>
              <w:right w:val="single" w:sz="4" w:space="0" w:color="auto"/>
            </w:tcBorders>
            <w:shd w:val="clear" w:color="auto" w:fill="auto"/>
            <w:noWrap/>
            <w:vAlign w:val="center"/>
            <w:hideMark/>
          </w:tcPr>
          <w:p w14:paraId="634460C3" w14:textId="77777777" w:rsidR="00293F62" w:rsidRPr="009548E1" w:rsidRDefault="00293F62" w:rsidP="005C7D38">
            <w:pPr>
              <w:jc w:val="right"/>
              <w:rPr>
                <w:sz w:val="16"/>
                <w:szCs w:val="16"/>
              </w:rPr>
            </w:pPr>
            <w:r w:rsidRPr="009548E1">
              <w:rPr>
                <w:sz w:val="16"/>
                <w:szCs w:val="16"/>
              </w:rPr>
              <w:t>398.168.425,24</w:t>
            </w:r>
          </w:p>
        </w:tc>
      </w:tr>
      <w:tr w:rsidR="00293F62" w:rsidRPr="009548E1" w14:paraId="547695C7" w14:textId="77777777" w:rsidTr="005C7D38">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47EC3DDE" w14:textId="77777777" w:rsidR="00293F62" w:rsidRPr="009548E1" w:rsidRDefault="00293F62" w:rsidP="005C7D38">
            <w:pPr>
              <w:jc w:val="center"/>
              <w:rPr>
                <w:sz w:val="16"/>
                <w:szCs w:val="16"/>
              </w:rPr>
            </w:pPr>
            <w:r w:rsidRPr="009548E1">
              <w:rPr>
                <w:sz w:val="16"/>
                <w:szCs w:val="16"/>
              </w:rPr>
              <w:t>8.</w:t>
            </w:r>
          </w:p>
        </w:tc>
        <w:tc>
          <w:tcPr>
            <w:tcW w:w="3338" w:type="dxa"/>
            <w:tcBorders>
              <w:top w:val="nil"/>
              <w:left w:val="nil"/>
              <w:bottom w:val="single" w:sz="4" w:space="0" w:color="auto"/>
              <w:right w:val="single" w:sz="4" w:space="0" w:color="auto"/>
            </w:tcBorders>
            <w:shd w:val="clear" w:color="auto" w:fill="auto"/>
            <w:noWrap/>
            <w:vAlign w:val="center"/>
            <w:hideMark/>
          </w:tcPr>
          <w:p w14:paraId="4D0E520D" w14:textId="77777777" w:rsidR="00293F62" w:rsidRPr="009548E1" w:rsidRDefault="00293F62" w:rsidP="005C7D38">
            <w:pPr>
              <w:rPr>
                <w:sz w:val="16"/>
                <w:szCs w:val="16"/>
              </w:rPr>
            </w:pPr>
            <w:r w:rsidRPr="009548E1">
              <w:rPr>
                <w:sz w:val="16"/>
                <w:szCs w:val="16"/>
              </w:rPr>
              <w:t xml:space="preserve">ERSTE EUR 360 </w:t>
            </w:r>
            <w:proofErr w:type="spellStart"/>
            <w:r w:rsidRPr="009548E1">
              <w:rPr>
                <w:sz w:val="16"/>
                <w:szCs w:val="16"/>
              </w:rPr>
              <w:t>mil</w:t>
            </w:r>
            <w:proofErr w:type="spellEnd"/>
            <w:r w:rsidRPr="009548E1">
              <w:rPr>
                <w:sz w:val="16"/>
                <w:szCs w:val="16"/>
              </w:rPr>
              <w:t>.</w:t>
            </w:r>
          </w:p>
        </w:tc>
        <w:tc>
          <w:tcPr>
            <w:tcW w:w="901" w:type="dxa"/>
            <w:tcBorders>
              <w:top w:val="nil"/>
              <w:left w:val="nil"/>
              <w:bottom w:val="single" w:sz="4" w:space="0" w:color="auto"/>
              <w:right w:val="single" w:sz="4" w:space="0" w:color="auto"/>
            </w:tcBorders>
            <w:shd w:val="clear" w:color="auto" w:fill="auto"/>
            <w:noWrap/>
            <w:vAlign w:val="center"/>
            <w:hideMark/>
          </w:tcPr>
          <w:p w14:paraId="396EA5D9" w14:textId="77777777" w:rsidR="00293F62" w:rsidRPr="009548E1" w:rsidRDefault="00293F62" w:rsidP="005C7D38">
            <w:pPr>
              <w:jc w:val="center"/>
              <w:rPr>
                <w:sz w:val="16"/>
                <w:szCs w:val="16"/>
              </w:rPr>
            </w:pPr>
            <w:r w:rsidRPr="009548E1">
              <w:rPr>
                <w:sz w:val="16"/>
                <w:szCs w:val="16"/>
              </w:rPr>
              <w:t xml:space="preserve">Erste </w:t>
            </w:r>
            <w:proofErr w:type="spellStart"/>
            <w:r w:rsidRPr="009548E1">
              <w:rPr>
                <w:sz w:val="16"/>
                <w:szCs w:val="16"/>
              </w:rPr>
              <w:t>bank</w:t>
            </w:r>
            <w:proofErr w:type="spellEnd"/>
            <w:r w:rsidRPr="009548E1">
              <w:rPr>
                <w:sz w:val="16"/>
                <w:szCs w:val="16"/>
              </w:rPr>
              <w:t xml:space="preserve"> </w:t>
            </w:r>
          </w:p>
        </w:tc>
        <w:tc>
          <w:tcPr>
            <w:tcW w:w="1083" w:type="dxa"/>
            <w:tcBorders>
              <w:top w:val="single" w:sz="4" w:space="0" w:color="auto"/>
              <w:left w:val="nil"/>
              <w:bottom w:val="nil"/>
              <w:right w:val="single" w:sz="4" w:space="0" w:color="auto"/>
            </w:tcBorders>
            <w:shd w:val="clear" w:color="auto" w:fill="auto"/>
            <w:noWrap/>
            <w:vAlign w:val="center"/>
            <w:hideMark/>
          </w:tcPr>
          <w:p w14:paraId="64DD499A" w14:textId="77777777" w:rsidR="00293F62" w:rsidRPr="009548E1" w:rsidRDefault="00293F62" w:rsidP="005C7D38">
            <w:pPr>
              <w:jc w:val="center"/>
              <w:rPr>
                <w:sz w:val="16"/>
                <w:szCs w:val="16"/>
              </w:rPr>
            </w:pPr>
            <w:r w:rsidRPr="009548E1">
              <w:rPr>
                <w:sz w:val="16"/>
                <w:szCs w:val="16"/>
              </w:rPr>
              <w:t>EUR</w:t>
            </w:r>
          </w:p>
        </w:tc>
        <w:tc>
          <w:tcPr>
            <w:tcW w:w="1701" w:type="dxa"/>
            <w:tcBorders>
              <w:top w:val="nil"/>
              <w:left w:val="nil"/>
              <w:bottom w:val="single" w:sz="4" w:space="0" w:color="auto"/>
              <w:right w:val="single" w:sz="4" w:space="0" w:color="auto"/>
            </w:tcBorders>
            <w:shd w:val="clear" w:color="auto" w:fill="auto"/>
            <w:noWrap/>
            <w:vAlign w:val="center"/>
            <w:hideMark/>
          </w:tcPr>
          <w:p w14:paraId="185D75A2" w14:textId="77777777" w:rsidR="00293F62" w:rsidRPr="009548E1" w:rsidRDefault="00293F62" w:rsidP="005C7D38">
            <w:pPr>
              <w:jc w:val="right"/>
              <w:rPr>
                <w:sz w:val="16"/>
                <w:szCs w:val="16"/>
              </w:rPr>
            </w:pPr>
            <w:r w:rsidRPr="009548E1">
              <w:rPr>
                <w:sz w:val="16"/>
                <w:szCs w:val="16"/>
              </w:rPr>
              <w:t>252.000.000,00</w:t>
            </w:r>
          </w:p>
        </w:tc>
      </w:tr>
      <w:tr w:rsidR="00293F62" w:rsidRPr="009548E1" w14:paraId="69DA49F8" w14:textId="77777777" w:rsidTr="005C7D38">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645CC989" w14:textId="77777777" w:rsidR="00293F62" w:rsidRPr="009548E1" w:rsidRDefault="00293F62" w:rsidP="005C7D38">
            <w:pPr>
              <w:jc w:val="center"/>
              <w:rPr>
                <w:sz w:val="16"/>
                <w:szCs w:val="16"/>
              </w:rPr>
            </w:pPr>
            <w:r w:rsidRPr="009548E1">
              <w:rPr>
                <w:sz w:val="16"/>
                <w:szCs w:val="16"/>
              </w:rPr>
              <w:t>9.</w:t>
            </w:r>
          </w:p>
        </w:tc>
        <w:tc>
          <w:tcPr>
            <w:tcW w:w="3338" w:type="dxa"/>
            <w:tcBorders>
              <w:top w:val="nil"/>
              <w:left w:val="nil"/>
              <w:bottom w:val="single" w:sz="4" w:space="0" w:color="auto"/>
              <w:right w:val="single" w:sz="4" w:space="0" w:color="auto"/>
            </w:tcBorders>
            <w:shd w:val="clear" w:color="auto" w:fill="auto"/>
            <w:noWrap/>
            <w:vAlign w:val="center"/>
            <w:hideMark/>
          </w:tcPr>
          <w:p w14:paraId="56AC693B" w14:textId="77777777" w:rsidR="00293F62" w:rsidRPr="009548E1" w:rsidRDefault="00293F62" w:rsidP="005C7D38">
            <w:pPr>
              <w:rPr>
                <w:sz w:val="16"/>
                <w:szCs w:val="16"/>
              </w:rPr>
            </w:pPr>
            <w:r w:rsidRPr="009548E1">
              <w:rPr>
                <w:sz w:val="16"/>
                <w:szCs w:val="16"/>
              </w:rPr>
              <w:t xml:space="preserve">PBZ EUR 200 </w:t>
            </w:r>
            <w:proofErr w:type="spellStart"/>
            <w:r w:rsidRPr="009548E1">
              <w:rPr>
                <w:sz w:val="16"/>
                <w:szCs w:val="16"/>
              </w:rPr>
              <w:t>mil</w:t>
            </w:r>
            <w:proofErr w:type="spellEnd"/>
            <w:r w:rsidRPr="009548E1">
              <w:rPr>
                <w:sz w:val="16"/>
                <w:szCs w:val="16"/>
              </w:rPr>
              <w:t>., D-2026</w:t>
            </w:r>
          </w:p>
        </w:tc>
        <w:tc>
          <w:tcPr>
            <w:tcW w:w="901" w:type="dxa"/>
            <w:tcBorders>
              <w:top w:val="nil"/>
              <w:left w:val="nil"/>
              <w:bottom w:val="single" w:sz="4" w:space="0" w:color="auto"/>
              <w:right w:val="single" w:sz="4" w:space="0" w:color="auto"/>
            </w:tcBorders>
            <w:shd w:val="clear" w:color="auto" w:fill="auto"/>
            <w:noWrap/>
            <w:vAlign w:val="center"/>
            <w:hideMark/>
          </w:tcPr>
          <w:p w14:paraId="2F4DDBD2" w14:textId="77777777" w:rsidR="00293F62" w:rsidRPr="009548E1" w:rsidRDefault="00293F62" w:rsidP="005C7D38">
            <w:pPr>
              <w:jc w:val="center"/>
              <w:rPr>
                <w:sz w:val="16"/>
                <w:szCs w:val="16"/>
              </w:rPr>
            </w:pPr>
            <w:r w:rsidRPr="009548E1">
              <w:rPr>
                <w:sz w:val="16"/>
                <w:szCs w:val="16"/>
              </w:rPr>
              <w:t>PBZ</w:t>
            </w:r>
          </w:p>
        </w:tc>
        <w:tc>
          <w:tcPr>
            <w:tcW w:w="1083" w:type="dxa"/>
            <w:tcBorders>
              <w:top w:val="single" w:sz="4" w:space="0" w:color="auto"/>
              <w:left w:val="nil"/>
              <w:bottom w:val="nil"/>
              <w:right w:val="single" w:sz="4" w:space="0" w:color="auto"/>
            </w:tcBorders>
            <w:shd w:val="clear" w:color="auto" w:fill="auto"/>
            <w:noWrap/>
            <w:vAlign w:val="center"/>
            <w:hideMark/>
          </w:tcPr>
          <w:p w14:paraId="58F6C388" w14:textId="77777777" w:rsidR="00293F62" w:rsidRPr="009548E1" w:rsidRDefault="00293F62" w:rsidP="005C7D38">
            <w:pPr>
              <w:jc w:val="center"/>
              <w:rPr>
                <w:sz w:val="16"/>
                <w:szCs w:val="16"/>
              </w:rPr>
            </w:pPr>
            <w:r w:rsidRPr="009548E1">
              <w:rPr>
                <w:sz w:val="16"/>
                <w:szCs w:val="16"/>
              </w:rPr>
              <w:t>EUR</w:t>
            </w:r>
          </w:p>
        </w:tc>
        <w:tc>
          <w:tcPr>
            <w:tcW w:w="1701" w:type="dxa"/>
            <w:tcBorders>
              <w:top w:val="nil"/>
              <w:left w:val="nil"/>
              <w:bottom w:val="single" w:sz="4" w:space="0" w:color="auto"/>
              <w:right w:val="single" w:sz="4" w:space="0" w:color="auto"/>
            </w:tcBorders>
            <w:shd w:val="clear" w:color="auto" w:fill="auto"/>
            <w:noWrap/>
            <w:vAlign w:val="center"/>
            <w:hideMark/>
          </w:tcPr>
          <w:p w14:paraId="0DB813BF" w14:textId="77777777" w:rsidR="00293F62" w:rsidRPr="009548E1" w:rsidRDefault="00293F62" w:rsidP="005C7D38">
            <w:pPr>
              <w:jc w:val="right"/>
              <w:rPr>
                <w:sz w:val="16"/>
                <w:szCs w:val="16"/>
              </w:rPr>
            </w:pPr>
            <w:r w:rsidRPr="009548E1">
              <w:rPr>
                <w:sz w:val="16"/>
                <w:szCs w:val="16"/>
              </w:rPr>
              <w:t>125.000.000,00</w:t>
            </w:r>
          </w:p>
        </w:tc>
      </w:tr>
      <w:tr w:rsidR="00293F62" w:rsidRPr="009548E1" w14:paraId="5B64A009" w14:textId="77777777" w:rsidTr="005C7D38">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654A926" w14:textId="77777777" w:rsidR="00293F62" w:rsidRPr="009548E1" w:rsidRDefault="00293F62" w:rsidP="005C7D38">
            <w:pPr>
              <w:jc w:val="center"/>
              <w:rPr>
                <w:sz w:val="16"/>
                <w:szCs w:val="16"/>
              </w:rPr>
            </w:pPr>
            <w:r w:rsidRPr="009548E1">
              <w:rPr>
                <w:sz w:val="16"/>
                <w:szCs w:val="16"/>
              </w:rPr>
              <w:t>10.</w:t>
            </w:r>
          </w:p>
        </w:tc>
        <w:tc>
          <w:tcPr>
            <w:tcW w:w="3338" w:type="dxa"/>
            <w:tcBorders>
              <w:top w:val="nil"/>
              <w:left w:val="nil"/>
              <w:bottom w:val="single" w:sz="4" w:space="0" w:color="auto"/>
              <w:right w:val="single" w:sz="4" w:space="0" w:color="auto"/>
            </w:tcBorders>
            <w:shd w:val="clear" w:color="auto" w:fill="auto"/>
            <w:noWrap/>
            <w:vAlign w:val="center"/>
            <w:hideMark/>
          </w:tcPr>
          <w:p w14:paraId="28EA12E3" w14:textId="77777777" w:rsidR="00293F62" w:rsidRPr="009548E1" w:rsidRDefault="00293F62" w:rsidP="005C7D38">
            <w:pPr>
              <w:rPr>
                <w:sz w:val="16"/>
                <w:szCs w:val="16"/>
              </w:rPr>
            </w:pPr>
            <w:proofErr w:type="spellStart"/>
            <w:r w:rsidRPr="009548E1">
              <w:rPr>
                <w:sz w:val="16"/>
                <w:szCs w:val="16"/>
              </w:rPr>
              <w:t>Raiffeisenbank</w:t>
            </w:r>
            <w:proofErr w:type="spellEnd"/>
            <w:r w:rsidRPr="009548E1">
              <w:rPr>
                <w:sz w:val="16"/>
                <w:szCs w:val="16"/>
              </w:rPr>
              <w:t xml:space="preserve"> EUR 120 </w:t>
            </w:r>
            <w:proofErr w:type="spellStart"/>
            <w:r w:rsidRPr="009548E1">
              <w:rPr>
                <w:sz w:val="16"/>
                <w:szCs w:val="16"/>
              </w:rPr>
              <w:t>mil</w:t>
            </w:r>
            <w:proofErr w:type="spellEnd"/>
            <w:r w:rsidRPr="009548E1">
              <w:rPr>
                <w:sz w:val="16"/>
                <w:szCs w:val="16"/>
              </w:rPr>
              <w:t>.</w:t>
            </w:r>
          </w:p>
        </w:tc>
        <w:tc>
          <w:tcPr>
            <w:tcW w:w="901" w:type="dxa"/>
            <w:tcBorders>
              <w:top w:val="nil"/>
              <w:left w:val="nil"/>
              <w:bottom w:val="single" w:sz="4" w:space="0" w:color="auto"/>
              <w:right w:val="single" w:sz="4" w:space="0" w:color="auto"/>
            </w:tcBorders>
            <w:shd w:val="clear" w:color="auto" w:fill="auto"/>
            <w:noWrap/>
            <w:vAlign w:val="center"/>
            <w:hideMark/>
          </w:tcPr>
          <w:p w14:paraId="36E36083" w14:textId="77777777" w:rsidR="00293F62" w:rsidRPr="009548E1" w:rsidRDefault="00293F62" w:rsidP="005C7D38">
            <w:pPr>
              <w:jc w:val="center"/>
              <w:rPr>
                <w:sz w:val="16"/>
                <w:szCs w:val="16"/>
              </w:rPr>
            </w:pPr>
            <w:proofErr w:type="spellStart"/>
            <w:r w:rsidRPr="009548E1">
              <w:rPr>
                <w:sz w:val="16"/>
                <w:szCs w:val="16"/>
              </w:rPr>
              <w:t>Raiffeisenbank</w:t>
            </w:r>
            <w:proofErr w:type="spellEnd"/>
          </w:p>
        </w:tc>
        <w:tc>
          <w:tcPr>
            <w:tcW w:w="1083" w:type="dxa"/>
            <w:tcBorders>
              <w:top w:val="single" w:sz="4" w:space="0" w:color="auto"/>
              <w:left w:val="nil"/>
              <w:bottom w:val="nil"/>
              <w:right w:val="single" w:sz="4" w:space="0" w:color="auto"/>
            </w:tcBorders>
            <w:shd w:val="clear" w:color="auto" w:fill="auto"/>
            <w:noWrap/>
            <w:vAlign w:val="center"/>
            <w:hideMark/>
          </w:tcPr>
          <w:p w14:paraId="4BFA5775" w14:textId="77777777" w:rsidR="00293F62" w:rsidRPr="009548E1" w:rsidRDefault="00293F62" w:rsidP="005C7D38">
            <w:pPr>
              <w:jc w:val="center"/>
              <w:rPr>
                <w:sz w:val="16"/>
                <w:szCs w:val="16"/>
              </w:rPr>
            </w:pPr>
            <w:r w:rsidRPr="009548E1">
              <w:rPr>
                <w:sz w:val="16"/>
                <w:szCs w:val="16"/>
              </w:rPr>
              <w:t>EUR</w:t>
            </w:r>
          </w:p>
        </w:tc>
        <w:tc>
          <w:tcPr>
            <w:tcW w:w="1701" w:type="dxa"/>
            <w:tcBorders>
              <w:top w:val="nil"/>
              <w:left w:val="nil"/>
              <w:bottom w:val="single" w:sz="4" w:space="0" w:color="auto"/>
              <w:right w:val="single" w:sz="4" w:space="0" w:color="auto"/>
            </w:tcBorders>
            <w:shd w:val="clear" w:color="auto" w:fill="auto"/>
            <w:noWrap/>
            <w:vAlign w:val="center"/>
            <w:hideMark/>
          </w:tcPr>
          <w:p w14:paraId="5DFA037C" w14:textId="77777777" w:rsidR="00293F62" w:rsidRPr="009548E1" w:rsidRDefault="00293F62" w:rsidP="005C7D38">
            <w:pPr>
              <w:jc w:val="right"/>
              <w:rPr>
                <w:sz w:val="16"/>
                <w:szCs w:val="16"/>
              </w:rPr>
            </w:pPr>
            <w:r w:rsidRPr="009548E1">
              <w:rPr>
                <w:sz w:val="16"/>
                <w:szCs w:val="16"/>
              </w:rPr>
              <w:t>75.000.000,00</w:t>
            </w:r>
          </w:p>
        </w:tc>
      </w:tr>
      <w:tr w:rsidR="00293F62" w:rsidRPr="009548E1" w14:paraId="71EBEB35" w14:textId="77777777" w:rsidTr="005C7D38">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3E5C5A01" w14:textId="77777777" w:rsidR="00293F62" w:rsidRPr="009548E1" w:rsidRDefault="00293F62" w:rsidP="005C7D38">
            <w:pPr>
              <w:jc w:val="center"/>
              <w:rPr>
                <w:sz w:val="16"/>
                <w:szCs w:val="16"/>
              </w:rPr>
            </w:pPr>
            <w:r w:rsidRPr="009548E1">
              <w:rPr>
                <w:sz w:val="16"/>
                <w:szCs w:val="16"/>
              </w:rPr>
              <w:t>11.</w:t>
            </w:r>
          </w:p>
        </w:tc>
        <w:tc>
          <w:tcPr>
            <w:tcW w:w="3338" w:type="dxa"/>
            <w:tcBorders>
              <w:top w:val="nil"/>
              <w:left w:val="nil"/>
              <w:bottom w:val="single" w:sz="4" w:space="0" w:color="auto"/>
              <w:right w:val="single" w:sz="4" w:space="0" w:color="auto"/>
            </w:tcBorders>
            <w:shd w:val="clear" w:color="auto" w:fill="auto"/>
            <w:noWrap/>
            <w:vAlign w:val="center"/>
            <w:hideMark/>
          </w:tcPr>
          <w:p w14:paraId="77F59EF1" w14:textId="77777777" w:rsidR="00293F62" w:rsidRPr="009548E1" w:rsidRDefault="00293F62" w:rsidP="005C7D38">
            <w:pPr>
              <w:rPr>
                <w:sz w:val="16"/>
                <w:szCs w:val="16"/>
              </w:rPr>
            </w:pPr>
            <w:proofErr w:type="spellStart"/>
            <w:r w:rsidRPr="009548E1">
              <w:rPr>
                <w:sz w:val="16"/>
                <w:szCs w:val="16"/>
              </w:rPr>
              <w:t>Raiffeisenbank</w:t>
            </w:r>
            <w:proofErr w:type="spellEnd"/>
            <w:r w:rsidRPr="009548E1">
              <w:rPr>
                <w:sz w:val="16"/>
                <w:szCs w:val="16"/>
              </w:rPr>
              <w:t xml:space="preserve"> EUR 150 </w:t>
            </w:r>
            <w:proofErr w:type="spellStart"/>
            <w:r w:rsidRPr="009548E1">
              <w:rPr>
                <w:sz w:val="16"/>
                <w:szCs w:val="16"/>
              </w:rPr>
              <w:t>mil</w:t>
            </w:r>
            <w:proofErr w:type="spellEnd"/>
            <w:r w:rsidRPr="009548E1">
              <w:rPr>
                <w:sz w:val="16"/>
                <w:szCs w:val="16"/>
              </w:rPr>
              <w:t>. D-2026</w:t>
            </w:r>
          </w:p>
        </w:tc>
        <w:tc>
          <w:tcPr>
            <w:tcW w:w="901" w:type="dxa"/>
            <w:tcBorders>
              <w:top w:val="nil"/>
              <w:left w:val="nil"/>
              <w:bottom w:val="single" w:sz="4" w:space="0" w:color="auto"/>
              <w:right w:val="single" w:sz="4" w:space="0" w:color="auto"/>
            </w:tcBorders>
            <w:shd w:val="clear" w:color="auto" w:fill="auto"/>
            <w:noWrap/>
            <w:vAlign w:val="center"/>
            <w:hideMark/>
          </w:tcPr>
          <w:p w14:paraId="24DF87CD" w14:textId="77777777" w:rsidR="00293F62" w:rsidRPr="009548E1" w:rsidRDefault="00293F62" w:rsidP="005C7D38">
            <w:pPr>
              <w:jc w:val="center"/>
              <w:rPr>
                <w:sz w:val="16"/>
                <w:szCs w:val="16"/>
              </w:rPr>
            </w:pPr>
            <w:proofErr w:type="spellStart"/>
            <w:r w:rsidRPr="009548E1">
              <w:rPr>
                <w:sz w:val="16"/>
                <w:szCs w:val="16"/>
              </w:rPr>
              <w:t>Raiffeisenbank</w:t>
            </w:r>
            <w:proofErr w:type="spellEnd"/>
          </w:p>
        </w:tc>
        <w:tc>
          <w:tcPr>
            <w:tcW w:w="1083" w:type="dxa"/>
            <w:tcBorders>
              <w:top w:val="single" w:sz="4" w:space="0" w:color="auto"/>
              <w:left w:val="nil"/>
              <w:bottom w:val="nil"/>
              <w:right w:val="single" w:sz="4" w:space="0" w:color="auto"/>
            </w:tcBorders>
            <w:shd w:val="clear" w:color="auto" w:fill="auto"/>
            <w:noWrap/>
            <w:vAlign w:val="center"/>
            <w:hideMark/>
          </w:tcPr>
          <w:p w14:paraId="2E698DE1" w14:textId="77777777" w:rsidR="00293F62" w:rsidRPr="009548E1" w:rsidRDefault="00293F62" w:rsidP="005C7D38">
            <w:pPr>
              <w:jc w:val="center"/>
              <w:rPr>
                <w:sz w:val="16"/>
                <w:szCs w:val="16"/>
              </w:rPr>
            </w:pPr>
            <w:r w:rsidRPr="009548E1">
              <w:rPr>
                <w:sz w:val="16"/>
                <w:szCs w:val="16"/>
              </w:rPr>
              <w:t>EUR</w:t>
            </w:r>
          </w:p>
        </w:tc>
        <w:tc>
          <w:tcPr>
            <w:tcW w:w="1701" w:type="dxa"/>
            <w:tcBorders>
              <w:top w:val="nil"/>
              <w:left w:val="nil"/>
              <w:bottom w:val="single" w:sz="4" w:space="0" w:color="auto"/>
              <w:right w:val="single" w:sz="4" w:space="0" w:color="auto"/>
            </w:tcBorders>
            <w:shd w:val="clear" w:color="auto" w:fill="auto"/>
            <w:noWrap/>
            <w:vAlign w:val="center"/>
            <w:hideMark/>
          </w:tcPr>
          <w:p w14:paraId="2274B261" w14:textId="77777777" w:rsidR="00293F62" w:rsidRPr="009548E1" w:rsidRDefault="00293F62" w:rsidP="005C7D38">
            <w:pPr>
              <w:jc w:val="right"/>
              <w:rPr>
                <w:sz w:val="16"/>
                <w:szCs w:val="16"/>
              </w:rPr>
            </w:pPr>
            <w:r w:rsidRPr="009548E1">
              <w:rPr>
                <w:sz w:val="16"/>
                <w:szCs w:val="16"/>
              </w:rPr>
              <w:t>112.500.000,00</w:t>
            </w:r>
          </w:p>
        </w:tc>
      </w:tr>
      <w:tr w:rsidR="00293F62" w:rsidRPr="009548E1" w14:paraId="3B3A5E72" w14:textId="77777777" w:rsidTr="005C7D38">
        <w:trPr>
          <w:trHeight w:val="315"/>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02AB4466" w14:textId="77777777" w:rsidR="00293F62" w:rsidRPr="009548E1" w:rsidRDefault="00293F62" w:rsidP="005C7D38">
            <w:pPr>
              <w:jc w:val="center"/>
              <w:rPr>
                <w:sz w:val="16"/>
                <w:szCs w:val="16"/>
              </w:rPr>
            </w:pPr>
            <w:r w:rsidRPr="009548E1">
              <w:rPr>
                <w:sz w:val="16"/>
                <w:szCs w:val="16"/>
              </w:rPr>
              <w:t>12.</w:t>
            </w:r>
          </w:p>
        </w:tc>
        <w:tc>
          <w:tcPr>
            <w:tcW w:w="3338" w:type="dxa"/>
            <w:tcBorders>
              <w:top w:val="single" w:sz="4" w:space="0" w:color="auto"/>
              <w:left w:val="nil"/>
              <w:bottom w:val="single" w:sz="4" w:space="0" w:color="auto"/>
              <w:right w:val="single" w:sz="4" w:space="0" w:color="auto"/>
            </w:tcBorders>
            <w:shd w:val="clear" w:color="auto" w:fill="auto"/>
            <w:noWrap/>
            <w:vAlign w:val="center"/>
            <w:hideMark/>
          </w:tcPr>
          <w:p w14:paraId="7F6B9F25" w14:textId="77777777" w:rsidR="00293F62" w:rsidRPr="009548E1" w:rsidRDefault="00293F62" w:rsidP="005C7D38">
            <w:pPr>
              <w:rPr>
                <w:sz w:val="16"/>
                <w:szCs w:val="16"/>
              </w:rPr>
            </w:pPr>
            <w:r w:rsidRPr="009548E1">
              <w:rPr>
                <w:sz w:val="16"/>
                <w:szCs w:val="16"/>
              </w:rPr>
              <w:t xml:space="preserve">ZABA EUR 200 </w:t>
            </w:r>
            <w:proofErr w:type="spellStart"/>
            <w:r w:rsidRPr="009548E1">
              <w:rPr>
                <w:sz w:val="16"/>
                <w:szCs w:val="16"/>
              </w:rPr>
              <w:t>mil</w:t>
            </w:r>
            <w:proofErr w:type="spellEnd"/>
            <w:r w:rsidRPr="009548E1">
              <w:rPr>
                <w:sz w:val="16"/>
                <w:szCs w:val="16"/>
              </w:rPr>
              <w:t>. D-2027</w:t>
            </w:r>
          </w:p>
        </w:tc>
        <w:tc>
          <w:tcPr>
            <w:tcW w:w="901" w:type="dxa"/>
            <w:tcBorders>
              <w:top w:val="single" w:sz="4" w:space="0" w:color="auto"/>
              <w:left w:val="nil"/>
              <w:bottom w:val="nil"/>
              <w:right w:val="nil"/>
            </w:tcBorders>
            <w:shd w:val="clear" w:color="auto" w:fill="auto"/>
            <w:noWrap/>
            <w:vAlign w:val="center"/>
            <w:hideMark/>
          </w:tcPr>
          <w:p w14:paraId="5EC54115" w14:textId="77777777" w:rsidR="00293F62" w:rsidRPr="009548E1" w:rsidRDefault="00293F62" w:rsidP="005C7D38">
            <w:pPr>
              <w:jc w:val="center"/>
              <w:rPr>
                <w:sz w:val="16"/>
                <w:szCs w:val="16"/>
              </w:rPr>
            </w:pPr>
            <w:r w:rsidRPr="009548E1">
              <w:rPr>
                <w:sz w:val="16"/>
                <w:szCs w:val="16"/>
              </w:rPr>
              <w:t>ZABA</w:t>
            </w:r>
          </w:p>
        </w:tc>
        <w:tc>
          <w:tcPr>
            <w:tcW w:w="1083" w:type="dxa"/>
            <w:tcBorders>
              <w:top w:val="single" w:sz="4" w:space="0" w:color="auto"/>
              <w:left w:val="single" w:sz="4" w:space="0" w:color="auto"/>
              <w:bottom w:val="nil"/>
              <w:right w:val="single" w:sz="4" w:space="0" w:color="auto"/>
            </w:tcBorders>
            <w:shd w:val="clear" w:color="auto" w:fill="auto"/>
            <w:noWrap/>
            <w:vAlign w:val="center"/>
            <w:hideMark/>
          </w:tcPr>
          <w:p w14:paraId="505EB019" w14:textId="77777777" w:rsidR="00293F62" w:rsidRPr="009548E1" w:rsidRDefault="00293F62" w:rsidP="005C7D38">
            <w:pPr>
              <w:jc w:val="center"/>
              <w:rPr>
                <w:sz w:val="16"/>
                <w:szCs w:val="16"/>
              </w:rPr>
            </w:pPr>
            <w:r w:rsidRPr="009548E1">
              <w:rPr>
                <w:sz w:val="16"/>
                <w:szCs w:val="16"/>
              </w:rPr>
              <w:t>EUR</w:t>
            </w:r>
          </w:p>
        </w:tc>
        <w:tc>
          <w:tcPr>
            <w:tcW w:w="1701" w:type="dxa"/>
            <w:tcBorders>
              <w:top w:val="nil"/>
              <w:left w:val="nil"/>
              <w:bottom w:val="single" w:sz="4" w:space="0" w:color="auto"/>
              <w:right w:val="single" w:sz="4" w:space="0" w:color="auto"/>
            </w:tcBorders>
            <w:shd w:val="clear" w:color="auto" w:fill="auto"/>
            <w:noWrap/>
            <w:vAlign w:val="center"/>
            <w:hideMark/>
          </w:tcPr>
          <w:p w14:paraId="5B969761" w14:textId="77777777" w:rsidR="00293F62" w:rsidRPr="009548E1" w:rsidRDefault="00293F62" w:rsidP="005C7D38">
            <w:pPr>
              <w:jc w:val="right"/>
              <w:rPr>
                <w:sz w:val="16"/>
                <w:szCs w:val="16"/>
              </w:rPr>
            </w:pPr>
            <w:r w:rsidRPr="009548E1">
              <w:rPr>
                <w:sz w:val="16"/>
                <w:szCs w:val="16"/>
              </w:rPr>
              <w:t>160.000.000,00</w:t>
            </w:r>
          </w:p>
        </w:tc>
      </w:tr>
      <w:tr w:rsidR="00293F62" w:rsidRPr="009548E1" w14:paraId="2A5B9AED" w14:textId="77777777" w:rsidTr="005C7D38">
        <w:trPr>
          <w:trHeight w:val="315"/>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49461F12" w14:textId="77777777" w:rsidR="00293F62" w:rsidRPr="009548E1" w:rsidRDefault="00293F62" w:rsidP="005C7D38">
            <w:pPr>
              <w:jc w:val="center"/>
              <w:rPr>
                <w:sz w:val="16"/>
                <w:szCs w:val="16"/>
              </w:rPr>
            </w:pPr>
            <w:r w:rsidRPr="009548E1">
              <w:rPr>
                <w:sz w:val="16"/>
                <w:szCs w:val="16"/>
              </w:rPr>
              <w:t>13.</w:t>
            </w:r>
          </w:p>
        </w:tc>
        <w:tc>
          <w:tcPr>
            <w:tcW w:w="3338" w:type="dxa"/>
            <w:tcBorders>
              <w:top w:val="single" w:sz="4" w:space="0" w:color="auto"/>
              <w:left w:val="nil"/>
              <w:bottom w:val="single" w:sz="4" w:space="0" w:color="auto"/>
              <w:right w:val="single" w:sz="4" w:space="0" w:color="auto"/>
            </w:tcBorders>
            <w:shd w:val="clear" w:color="auto" w:fill="auto"/>
            <w:noWrap/>
            <w:vAlign w:val="center"/>
            <w:hideMark/>
          </w:tcPr>
          <w:p w14:paraId="2222BF58" w14:textId="77777777" w:rsidR="00293F62" w:rsidRPr="009548E1" w:rsidRDefault="00293F62" w:rsidP="005C7D38">
            <w:pPr>
              <w:rPr>
                <w:sz w:val="16"/>
                <w:szCs w:val="16"/>
              </w:rPr>
            </w:pPr>
            <w:r w:rsidRPr="009548E1">
              <w:rPr>
                <w:sz w:val="16"/>
                <w:szCs w:val="16"/>
              </w:rPr>
              <w:t xml:space="preserve">PBZ EUR 240 </w:t>
            </w:r>
            <w:proofErr w:type="spellStart"/>
            <w:r w:rsidRPr="009548E1">
              <w:rPr>
                <w:sz w:val="16"/>
                <w:szCs w:val="16"/>
              </w:rPr>
              <w:t>mil</w:t>
            </w:r>
            <w:proofErr w:type="spellEnd"/>
            <w:r w:rsidRPr="009548E1">
              <w:rPr>
                <w:sz w:val="16"/>
                <w:szCs w:val="16"/>
              </w:rPr>
              <w:t>., D-2026 - novo</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2A136996" w14:textId="77777777" w:rsidR="00293F62" w:rsidRPr="009548E1" w:rsidRDefault="00293F62" w:rsidP="005C7D38">
            <w:pPr>
              <w:jc w:val="center"/>
              <w:rPr>
                <w:sz w:val="16"/>
                <w:szCs w:val="16"/>
              </w:rPr>
            </w:pPr>
            <w:r w:rsidRPr="009548E1">
              <w:rPr>
                <w:sz w:val="16"/>
                <w:szCs w:val="16"/>
              </w:rPr>
              <w:t>PBZ</w:t>
            </w:r>
          </w:p>
        </w:tc>
        <w:tc>
          <w:tcPr>
            <w:tcW w:w="1083" w:type="dxa"/>
            <w:tcBorders>
              <w:top w:val="single" w:sz="4" w:space="0" w:color="auto"/>
              <w:left w:val="nil"/>
              <w:bottom w:val="nil"/>
              <w:right w:val="single" w:sz="4" w:space="0" w:color="auto"/>
            </w:tcBorders>
            <w:shd w:val="clear" w:color="auto" w:fill="auto"/>
            <w:noWrap/>
            <w:vAlign w:val="center"/>
            <w:hideMark/>
          </w:tcPr>
          <w:p w14:paraId="45C6786F" w14:textId="77777777" w:rsidR="00293F62" w:rsidRPr="009548E1" w:rsidRDefault="00293F62" w:rsidP="005C7D38">
            <w:pPr>
              <w:jc w:val="center"/>
              <w:rPr>
                <w:sz w:val="16"/>
                <w:szCs w:val="16"/>
              </w:rPr>
            </w:pPr>
            <w:r w:rsidRPr="009548E1">
              <w:rPr>
                <w:sz w:val="16"/>
                <w:szCs w:val="16"/>
              </w:rPr>
              <w:t>EUR</w:t>
            </w:r>
          </w:p>
        </w:tc>
        <w:tc>
          <w:tcPr>
            <w:tcW w:w="1701" w:type="dxa"/>
            <w:tcBorders>
              <w:top w:val="nil"/>
              <w:left w:val="nil"/>
              <w:bottom w:val="single" w:sz="4" w:space="0" w:color="auto"/>
              <w:right w:val="single" w:sz="4" w:space="0" w:color="auto"/>
            </w:tcBorders>
            <w:shd w:val="clear" w:color="auto" w:fill="auto"/>
            <w:noWrap/>
            <w:vAlign w:val="center"/>
            <w:hideMark/>
          </w:tcPr>
          <w:p w14:paraId="6A07051A" w14:textId="77777777" w:rsidR="00293F62" w:rsidRPr="009548E1" w:rsidRDefault="00293F62" w:rsidP="005C7D38">
            <w:pPr>
              <w:jc w:val="right"/>
              <w:rPr>
                <w:sz w:val="16"/>
                <w:szCs w:val="16"/>
              </w:rPr>
            </w:pPr>
            <w:r w:rsidRPr="009548E1">
              <w:rPr>
                <w:sz w:val="16"/>
                <w:szCs w:val="16"/>
              </w:rPr>
              <w:t>180.000.000,00</w:t>
            </w:r>
          </w:p>
        </w:tc>
      </w:tr>
      <w:tr w:rsidR="00293F62" w:rsidRPr="009548E1" w14:paraId="77FBD916" w14:textId="77777777" w:rsidTr="005C7D38">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17533FD4" w14:textId="77777777" w:rsidR="00293F62" w:rsidRPr="009548E1" w:rsidRDefault="00293F62" w:rsidP="005C7D38">
            <w:pPr>
              <w:jc w:val="center"/>
              <w:rPr>
                <w:sz w:val="16"/>
                <w:szCs w:val="16"/>
              </w:rPr>
            </w:pPr>
            <w:r w:rsidRPr="009548E1">
              <w:rPr>
                <w:sz w:val="16"/>
                <w:szCs w:val="16"/>
              </w:rPr>
              <w:t>14.</w:t>
            </w:r>
          </w:p>
        </w:tc>
        <w:tc>
          <w:tcPr>
            <w:tcW w:w="3338" w:type="dxa"/>
            <w:tcBorders>
              <w:top w:val="single" w:sz="4" w:space="0" w:color="auto"/>
              <w:left w:val="nil"/>
              <w:bottom w:val="single" w:sz="4" w:space="0" w:color="auto"/>
              <w:right w:val="single" w:sz="4" w:space="0" w:color="auto"/>
            </w:tcBorders>
            <w:shd w:val="clear" w:color="auto" w:fill="auto"/>
            <w:noWrap/>
            <w:vAlign w:val="center"/>
            <w:hideMark/>
          </w:tcPr>
          <w:p w14:paraId="6FC477A9" w14:textId="77777777" w:rsidR="00293F62" w:rsidRPr="009548E1" w:rsidRDefault="00293F62" w:rsidP="005C7D38">
            <w:pPr>
              <w:rPr>
                <w:sz w:val="16"/>
                <w:szCs w:val="16"/>
              </w:rPr>
            </w:pPr>
            <w:proofErr w:type="spellStart"/>
            <w:r w:rsidRPr="009548E1">
              <w:rPr>
                <w:sz w:val="16"/>
                <w:szCs w:val="16"/>
              </w:rPr>
              <w:t>Raiffeisenbank</w:t>
            </w:r>
            <w:proofErr w:type="spellEnd"/>
            <w:r w:rsidRPr="009548E1">
              <w:rPr>
                <w:sz w:val="16"/>
                <w:szCs w:val="16"/>
              </w:rPr>
              <w:t xml:space="preserve"> EUR 100 </w:t>
            </w:r>
            <w:proofErr w:type="spellStart"/>
            <w:r w:rsidRPr="009548E1">
              <w:rPr>
                <w:sz w:val="16"/>
                <w:szCs w:val="16"/>
              </w:rPr>
              <w:t>mil</w:t>
            </w:r>
            <w:proofErr w:type="spellEnd"/>
            <w:r w:rsidRPr="009548E1">
              <w:rPr>
                <w:sz w:val="16"/>
                <w:szCs w:val="16"/>
              </w:rPr>
              <w:t>. D-2027 - novo</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5F2F91D1" w14:textId="77777777" w:rsidR="00293F62" w:rsidRPr="009548E1" w:rsidRDefault="00293F62" w:rsidP="005C7D38">
            <w:pPr>
              <w:jc w:val="center"/>
              <w:rPr>
                <w:sz w:val="16"/>
                <w:szCs w:val="16"/>
              </w:rPr>
            </w:pPr>
            <w:proofErr w:type="spellStart"/>
            <w:r w:rsidRPr="009548E1">
              <w:rPr>
                <w:sz w:val="16"/>
                <w:szCs w:val="16"/>
              </w:rPr>
              <w:t>Raiffeisenbank</w:t>
            </w:r>
            <w:proofErr w:type="spellEnd"/>
          </w:p>
        </w:tc>
        <w:tc>
          <w:tcPr>
            <w:tcW w:w="1083" w:type="dxa"/>
            <w:tcBorders>
              <w:top w:val="single" w:sz="4" w:space="0" w:color="auto"/>
              <w:left w:val="nil"/>
              <w:bottom w:val="nil"/>
              <w:right w:val="single" w:sz="4" w:space="0" w:color="auto"/>
            </w:tcBorders>
            <w:shd w:val="clear" w:color="auto" w:fill="auto"/>
            <w:noWrap/>
            <w:vAlign w:val="center"/>
            <w:hideMark/>
          </w:tcPr>
          <w:p w14:paraId="3EF9EFD8" w14:textId="77777777" w:rsidR="00293F62" w:rsidRPr="009548E1" w:rsidRDefault="00293F62" w:rsidP="005C7D38">
            <w:pPr>
              <w:jc w:val="center"/>
              <w:rPr>
                <w:sz w:val="16"/>
                <w:szCs w:val="16"/>
              </w:rPr>
            </w:pPr>
            <w:r w:rsidRPr="009548E1">
              <w:rPr>
                <w:sz w:val="16"/>
                <w:szCs w:val="16"/>
              </w:rPr>
              <w:t>EUR</w:t>
            </w:r>
          </w:p>
        </w:tc>
        <w:tc>
          <w:tcPr>
            <w:tcW w:w="1701" w:type="dxa"/>
            <w:tcBorders>
              <w:top w:val="nil"/>
              <w:left w:val="nil"/>
              <w:bottom w:val="single" w:sz="4" w:space="0" w:color="auto"/>
              <w:right w:val="single" w:sz="4" w:space="0" w:color="auto"/>
            </w:tcBorders>
            <w:shd w:val="clear" w:color="auto" w:fill="auto"/>
            <w:noWrap/>
            <w:vAlign w:val="center"/>
            <w:hideMark/>
          </w:tcPr>
          <w:p w14:paraId="1573010C" w14:textId="77777777" w:rsidR="00293F62" w:rsidRPr="009548E1" w:rsidRDefault="00293F62" w:rsidP="005C7D38">
            <w:pPr>
              <w:jc w:val="right"/>
              <w:rPr>
                <w:sz w:val="16"/>
                <w:szCs w:val="16"/>
              </w:rPr>
            </w:pPr>
            <w:r w:rsidRPr="009548E1">
              <w:rPr>
                <w:sz w:val="16"/>
                <w:szCs w:val="16"/>
              </w:rPr>
              <w:t>87.500.000,00</w:t>
            </w:r>
          </w:p>
        </w:tc>
      </w:tr>
      <w:tr w:rsidR="00293F62" w:rsidRPr="009548E1" w14:paraId="3FF9F16C" w14:textId="77777777" w:rsidTr="005C7D38">
        <w:trPr>
          <w:trHeight w:val="315"/>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13C415E2" w14:textId="77777777" w:rsidR="00293F62" w:rsidRPr="009548E1" w:rsidRDefault="00293F62" w:rsidP="005C7D38">
            <w:pPr>
              <w:jc w:val="center"/>
              <w:rPr>
                <w:sz w:val="16"/>
                <w:szCs w:val="16"/>
              </w:rPr>
            </w:pPr>
            <w:r w:rsidRPr="009548E1">
              <w:rPr>
                <w:sz w:val="16"/>
                <w:szCs w:val="16"/>
              </w:rPr>
              <w:t>15.</w:t>
            </w:r>
          </w:p>
        </w:tc>
        <w:tc>
          <w:tcPr>
            <w:tcW w:w="3338" w:type="dxa"/>
            <w:tcBorders>
              <w:top w:val="nil"/>
              <w:left w:val="nil"/>
              <w:bottom w:val="double" w:sz="6" w:space="0" w:color="auto"/>
              <w:right w:val="single" w:sz="4" w:space="0" w:color="auto"/>
            </w:tcBorders>
            <w:shd w:val="clear" w:color="auto" w:fill="auto"/>
            <w:noWrap/>
            <w:vAlign w:val="center"/>
            <w:hideMark/>
          </w:tcPr>
          <w:p w14:paraId="6488405D" w14:textId="77777777" w:rsidR="00293F62" w:rsidRPr="009548E1" w:rsidRDefault="00293F62" w:rsidP="005C7D38">
            <w:pPr>
              <w:rPr>
                <w:sz w:val="16"/>
                <w:szCs w:val="16"/>
              </w:rPr>
            </w:pPr>
            <w:r w:rsidRPr="009548E1">
              <w:rPr>
                <w:sz w:val="16"/>
                <w:szCs w:val="16"/>
              </w:rPr>
              <w:t xml:space="preserve">ZABA EUR 300 </w:t>
            </w:r>
            <w:proofErr w:type="spellStart"/>
            <w:r w:rsidRPr="009548E1">
              <w:rPr>
                <w:sz w:val="16"/>
                <w:szCs w:val="16"/>
              </w:rPr>
              <w:t>mil</w:t>
            </w:r>
            <w:proofErr w:type="spellEnd"/>
            <w:r w:rsidRPr="009548E1">
              <w:rPr>
                <w:sz w:val="16"/>
                <w:szCs w:val="16"/>
              </w:rPr>
              <w:t>. D-2028</w:t>
            </w:r>
          </w:p>
        </w:tc>
        <w:tc>
          <w:tcPr>
            <w:tcW w:w="901" w:type="dxa"/>
            <w:tcBorders>
              <w:top w:val="nil"/>
              <w:left w:val="nil"/>
              <w:bottom w:val="nil"/>
              <w:right w:val="nil"/>
            </w:tcBorders>
            <w:shd w:val="clear" w:color="auto" w:fill="auto"/>
            <w:noWrap/>
            <w:vAlign w:val="center"/>
            <w:hideMark/>
          </w:tcPr>
          <w:p w14:paraId="5A1A11A4" w14:textId="77777777" w:rsidR="00293F62" w:rsidRPr="009548E1" w:rsidRDefault="00293F62" w:rsidP="005C7D38">
            <w:pPr>
              <w:jc w:val="center"/>
              <w:rPr>
                <w:sz w:val="16"/>
                <w:szCs w:val="16"/>
              </w:rPr>
            </w:pPr>
            <w:r w:rsidRPr="009548E1">
              <w:rPr>
                <w:sz w:val="16"/>
                <w:szCs w:val="16"/>
              </w:rPr>
              <w:t>ZABA</w:t>
            </w:r>
          </w:p>
        </w:tc>
        <w:tc>
          <w:tcPr>
            <w:tcW w:w="1083" w:type="dxa"/>
            <w:tcBorders>
              <w:top w:val="single" w:sz="4" w:space="0" w:color="auto"/>
              <w:left w:val="single" w:sz="4" w:space="0" w:color="auto"/>
              <w:bottom w:val="nil"/>
              <w:right w:val="single" w:sz="4" w:space="0" w:color="auto"/>
            </w:tcBorders>
            <w:shd w:val="clear" w:color="auto" w:fill="auto"/>
            <w:noWrap/>
            <w:vAlign w:val="center"/>
            <w:hideMark/>
          </w:tcPr>
          <w:p w14:paraId="3523A2F6" w14:textId="77777777" w:rsidR="00293F62" w:rsidRPr="009548E1" w:rsidRDefault="00293F62" w:rsidP="005C7D38">
            <w:pPr>
              <w:jc w:val="center"/>
              <w:rPr>
                <w:sz w:val="16"/>
                <w:szCs w:val="16"/>
              </w:rPr>
            </w:pPr>
            <w:r w:rsidRPr="009548E1">
              <w:rPr>
                <w:sz w:val="16"/>
                <w:szCs w:val="16"/>
              </w:rPr>
              <w:t>EUR</w:t>
            </w:r>
          </w:p>
        </w:tc>
        <w:tc>
          <w:tcPr>
            <w:tcW w:w="1701" w:type="dxa"/>
            <w:tcBorders>
              <w:top w:val="nil"/>
              <w:left w:val="nil"/>
              <w:bottom w:val="single" w:sz="4" w:space="0" w:color="auto"/>
              <w:right w:val="single" w:sz="4" w:space="0" w:color="auto"/>
            </w:tcBorders>
            <w:shd w:val="clear" w:color="auto" w:fill="auto"/>
            <w:noWrap/>
            <w:vAlign w:val="center"/>
            <w:hideMark/>
          </w:tcPr>
          <w:p w14:paraId="332F7DCD" w14:textId="77777777" w:rsidR="00293F62" w:rsidRPr="009548E1" w:rsidRDefault="00293F62" w:rsidP="005C7D38">
            <w:pPr>
              <w:jc w:val="right"/>
              <w:rPr>
                <w:sz w:val="16"/>
                <w:szCs w:val="16"/>
              </w:rPr>
            </w:pPr>
            <w:r w:rsidRPr="009548E1">
              <w:rPr>
                <w:sz w:val="16"/>
                <w:szCs w:val="16"/>
              </w:rPr>
              <w:t>270.000.000,00</w:t>
            </w:r>
          </w:p>
        </w:tc>
      </w:tr>
      <w:tr w:rsidR="00293F62" w:rsidRPr="009548E1" w14:paraId="6496CEDF" w14:textId="77777777" w:rsidTr="005C7D38">
        <w:trPr>
          <w:trHeight w:val="330"/>
          <w:jc w:val="center"/>
        </w:trPr>
        <w:tc>
          <w:tcPr>
            <w:tcW w:w="91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72AF8ECD" w14:textId="77777777" w:rsidR="00293F62" w:rsidRPr="009548E1" w:rsidRDefault="00293F62" w:rsidP="005C7D38">
            <w:pPr>
              <w:jc w:val="center"/>
              <w:rPr>
                <w:b/>
                <w:bCs/>
                <w:sz w:val="16"/>
                <w:szCs w:val="16"/>
              </w:rPr>
            </w:pPr>
            <w:r w:rsidRPr="009548E1">
              <w:rPr>
                <w:b/>
                <w:bCs/>
                <w:sz w:val="16"/>
                <w:szCs w:val="16"/>
              </w:rPr>
              <w:t>UKUPNO</w:t>
            </w:r>
          </w:p>
        </w:tc>
        <w:tc>
          <w:tcPr>
            <w:tcW w:w="3338" w:type="dxa"/>
            <w:tcBorders>
              <w:top w:val="nil"/>
              <w:left w:val="nil"/>
              <w:bottom w:val="double" w:sz="6" w:space="0" w:color="auto"/>
              <w:right w:val="double" w:sz="6" w:space="0" w:color="auto"/>
            </w:tcBorders>
            <w:shd w:val="clear" w:color="auto" w:fill="auto"/>
            <w:noWrap/>
            <w:vAlign w:val="center"/>
            <w:hideMark/>
          </w:tcPr>
          <w:p w14:paraId="5406551E" w14:textId="77777777" w:rsidR="00293F62" w:rsidRPr="009548E1" w:rsidRDefault="00293F62" w:rsidP="005C7D38">
            <w:pPr>
              <w:rPr>
                <w:sz w:val="16"/>
                <w:szCs w:val="16"/>
              </w:rPr>
            </w:pPr>
            <w:r w:rsidRPr="009548E1">
              <w:rPr>
                <w:sz w:val="16"/>
                <w:szCs w:val="16"/>
              </w:rPr>
              <w:t> </w:t>
            </w:r>
          </w:p>
        </w:tc>
        <w:tc>
          <w:tcPr>
            <w:tcW w:w="901" w:type="dxa"/>
            <w:tcBorders>
              <w:top w:val="double" w:sz="6" w:space="0" w:color="auto"/>
              <w:left w:val="nil"/>
              <w:bottom w:val="double" w:sz="6" w:space="0" w:color="auto"/>
              <w:right w:val="double" w:sz="6" w:space="0" w:color="auto"/>
            </w:tcBorders>
            <w:shd w:val="clear" w:color="auto" w:fill="auto"/>
            <w:noWrap/>
            <w:vAlign w:val="center"/>
            <w:hideMark/>
          </w:tcPr>
          <w:p w14:paraId="11FC497A" w14:textId="77777777" w:rsidR="00293F62" w:rsidRPr="009548E1" w:rsidRDefault="00293F62" w:rsidP="005C7D38">
            <w:pPr>
              <w:rPr>
                <w:sz w:val="16"/>
                <w:szCs w:val="16"/>
              </w:rPr>
            </w:pPr>
            <w:r w:rsidRPr="009548E1">
              <w:rPr>
                <w:sz w:val="16"/>
                <w:szCs w:val="16"/>
              </w:rPr>
              <w:t> </w:t>
            </w:r>
          </w:p>
        </w:tc>
        <w:tc>
          <w:tcPr>
            <w:tcW w:w="1083" w:type="dxa"/>
            <w:tcBorders>
              <w:top w:val="double" w:sz="6" w:space="0" w:color="auto"/>
              <w:left w:val="nil"/>
              <w:bottom w:val="double" w:sz="6" w:space="0" w:color="auto"/>
              <w:right w:val="double" w:sz="6" w:space="0" w:color="auto"/>
            </w:tcBorders>
            <w:shd w:val="clear" w:color="auto" w:fill="auto"/>
            <w:noWrap/>
            <w:vAlign w:val="center"/>
            <w:hideMark/>
          </w:tcPr>
          <w:p w14:paraId="169B7E2D" w14:textId="77777777" w:rsidR="00293F62" w:rsidRPr="009548E1" w:rsidRDefault="00293F62" w:rsidP="005C7D38">
            <w:pPr>
              <w:jc w:val="center"/>
              <w:rPr>
                <w:b/>
                <w:bCs/>
                <w:sz w:val="16"/>
                <w:szCs w:val="16"/>
              </w:rPr>
            </w:pPr>
            <w:r w:rsidRPr="009548E1">
              <w:rPr>
                <w:b/>
                <w:bCs/>
                <w:sz w:val="16"/>
                <w:szCs w:val="16"/>
              </w:rPr>
              <w:t>EUR</w:t>
            </w:r>
          </w:p>
        </w:tc>
        <w:tc>
          <w:tcPr>
            <w:tcW w:w="1701" w:type="dxa"/>
            <w:tcBorders>
              <w:top w:val="double" w:sz="6" w:space="0" w:color="auto"/>
              <w:left w:val="nil"/>
              <w:bottom w:val="double" w:sz="6" w:space="0" w:color="auto"/>
              <w:right w:val="double" w:sz="6" w:space="0" w:color="auto"/>
            </w:tcBorders>
            <w:shd w:val="clear" w:color="auto" w:fill="auto"/>
            <w:noWrap/>
            <w:vAlign w:val="center"/>
            <w:hideMark/>
          </w:tcPr>
          <w:p w14:paraId="6644484E" w14:textId="77777777" w:rsidR="00293F62" w:rsidRPr="009548E1" w:rsidRDefault="00293F62" w:rsidP="005C7D38">
            <w:pPr>
              <w:jc w:val="right"/>
              <w:rPr>
                <w:b/>
                <w:bCs/>
                <w:sz w:val="16"/>
                <w:szCs w:val="16"/>
              </w:rPr>
            </w:pPr>
            <w:r w:rsidRPr="009548E1">
              <w:rPr>
                <w:b/>
                <w:bCs/>
                <w:sz w:val="16"/>
                <w:szCs w:val="16"/>
              </w:rPr>
              <w:t>2.344.268.949,59</w:t>
            </w:r>
          </w:p>
        </w:tc>
      </w:tr>
    </w:tbl>
    <w:p w14:paraId="088B287E" w14:textId="77777777" w:rsidR="00293F62" w:rsidRPr="009548E1" w:rsidRDefault="00293F62" w:rsidP="00293F62">
      <w:pPr>
        <w:keepNext/>
        <w:jc w:val="both"/>
        <w:rPr>
          <w:b/>
          <w:sz w:val="20"/>
          <w:szCs w:val="20"/>
        </w:rPr>
      </w:pPr>
    </w:p>
    <w:p w14:paraId="5D9D1754" w14:textId="77777777" w:rsidR="00293F62" w:rsidRPr="009548E1" w:rsidRDefault="00293F62" w:rsidP="00293F62">
      <w:pPr>
        <w:keepNext/>
        <w:rPr>
          <w:color w:val="000000"/>
        </w:rPr>
      </w:pPr>
    </w:p>
    <w:p w14:paraId="6E94DC23" w14:textId="77777777" w:rsidR="00293F62" w:rsidRPr="009548E1" w:rsidRDefault="00293F62" w:rsidP="00293F62">
      <w:pPr>
        <w:tabs>
          <w:tab w:val="left" w:pos="360"/>
        </w:tabs>
        <w:rPr>
          <w:b/>
          <w:i/>
        </w:rPr>
      </w:pPr>
      <w:r w:rsidRPr="009548E1">
        <w:rPr>
          <w:b/>
          <w:i/>
        </w:rPr>
        <w:t>Zaduživanje na domaćem tržištu putem dugoročnih kredita u 2023. godini</w:t>
      </w:r>
    </w:p>
    <w:p w14:paraId="5FCE16C3" w14:textId="77777777" w:rsidR="00293F62" w:rsidRPr="009548E1" w:rsidRDefault="00293F62" w:rsidP="00293F62">
      <w:pPr>
        <w:tabs>
          <w:tab w:val="left" w:pos="360"/>
        </w:tabs>
        <w:jc w:val="both"/>
      </w:pPr>
    </w:p>
    <w:p w14:paraId="004C0DFC" w14:textId="77777777" w:rsidR="00293F62" w:rsidRPr="009548E1" w:rsidRDefault="00293F62" w:rsidP="00293F62">
      <w:pPr>
        <w:numPr>
          <w:ilvl w:val="0"/>
          <w:numId w:val="22"/>
        </w:numPr>
        <w:tabs>
          <w:tab w:val="left" w:pos="360"/>
        </w:tabs>
        <w:contextualSpacing/>
      </w:pPr>
      <w:r w:rsidRPr="009548E1">
        <w:t>Kredit u iznosu od 240.000.000,00 eura</w:t>
      </w:r>
    </w:p>
    <w:p w14:paraId="00C1398B" w14:textId="77777777" w:rsidR="00293F62" w:rsidRPr="009548E1" w:rsidRDefault="00293F62" w:rsidP="00293F62">
      <w:pPr>
        <w:shd w:val="clear" w:color="auto" w:fill="FFFFFF"/>
        <w:jc w:val="both"/>
        <w:rPr>
          <w:color w:val="000000"/>
        </w:rPr>
      </w:pPr>
      <w:r w:rsidRPr="009548E1">
        <w:rPr>
          <w:color w:val="000000"/>
        </w:rPr>
        <w:t>Republika Hrvatska se u siječnju zadužila na domaćem financijskom tržištu u iznosu od 240 milijuna eura</w:t>
      </w:r>
      <w:r>
        <w:rPr>
          <w:color w:val="000000"/>
        </w:rPr>
        <w:t xml:space="preserve"> kod Privredne banke Zagreb</w:t>
      </w:r>
      <w:r w:rsidRPr="009548E1">
        <w:rPr>
          <w:color w:val="000000"/>
        </w:rPr>
        <w:t>. Kamatna stopa je nepromjenjiva i izno</w:t>
      </w:r>
      <w:r>
        <w:rPr>
          <w:color w:val="000000"/>
        </w:rPr>
        <w:t>si 3,152% godišnje. Glavnica se otplaćuje</w:t>
      </w:r>
      <w:r w:rsidRPr="009548E1">
        <w:rPr>
          <w:color w:val="000000"/>
        </w:rPr>
        <w:t xml:space="preserve"> u osam jednakih polugodišnjih rata od kojih prva </w:t>
      </w:r>
      <w:r>
        <w:rPr>
          <w:color w:val="000000"/>
        </w:rPr>
        <w:t>rata dospjela</w:t>
      </w:r>
      <w:r w:rsidRPr="009548E1">
        <w:rPr>
          <w:color w:val="000000"/>
        </w:rPr>
        <w:t xml:space="preserve"> na naplatu 30. lipnja 2023., a zadnja </w:t>
      </w:r>
      <w:r>
        <w:rPr>
          <w:color w:val="000000"/>
        </w:rPr>
        <w:t xml:space="preserve">dospijeva </w:t>
      </w:r>
      <w:r w:rsidRPr="009548E1">
        <w:rPr>
          <w:color w:val="000000"/>
        </w:rPr>
        <w:t>31. prosinca 2026. godine.</w:t>
      </w:r>
    </w:p>
    <w:p w14:paraId="0FC9376F" w14:textId="77777777" w:rsidR="00293F62" w:rsidRPr="009548E1" w:rsidRDefault="00293F62" w:rsidP="00293F62">
      <w:pPr>
        <w:shd w:val="clear" w:color="auto" w:fill="FFFFFF"/>
        <w:jc w:val="both"/>
        <w:rPr>
          <w:color w:val="000000"/>
        </w:rPr>
      </w:pPr>
      <w:r w:rsidRPr="009548E1">
        <w:rPr>
          <w:color w:val="000000"/>
        </w:rPr>
        <w:t> </w:t>
      </w:r>
    </w:p>
    <w:p w14:paraId="35604613" w14:textId="77777777" w:rsidR="00293F62" w:rsidRPr="009548E1" w:rsidRDefault="00293F62" w:rsidP="00293F62">
      <w:pPr>
        <w:numPr>
          <w:ilvl w:val="0"/>
          <w:numId w:val="22"/>
        </w:numPr>
        <w:tabs>
          <w:tab w:val="left" w:pos="360"/>
        </w:tabs>
        <w:contextualSpacing/>
      </w:pPr>
      <w:r w:rsidRPr="009548E1">
        <w:t>Kredit u iznosu od 100.000.000,00 eura </w:t>
      </w:r>
    </w:p>
    <w:p w14:paraId="496D0E29" w14:textId="77777777" w:rsidR="00293F62" w:rsidRPr="009548E1" w:rsidRDefault="00293F62" w:rsidP="00293F62">
      <w:pPr>
        <w:shd w:val="clear" w:color="auto" w:fill="FFFFFF"/>
        <w:jc w:val="both"/>
        <w:rPr>
          <w:color w:val="000000"/>
        </w:rPr>
      </w:pPr>
      <w:r w:rsidRPr="009548E1">
        <w:rPr>
          <w:color w:val="000000"/>
        </w:rPr>
        <w:t>Republika Hrvatska se u siječnju zadužila na domaćem financijskom tržištu u iznosu 100 milijuna eura</w:t>
      </w:r>
      <w:r>
        <w:rPr>
          <w:color w:val="000000"/>
        </w:rPr>
        <w:t xml:space="preserve"> kod </w:t>
      </w:r>
      <w:r w:rsidRPr="00F55400">
        <w:rPr>
          <w:color w:val="000000"/>
        </w:rPr>
        <w:t xml:space="preserve">RBA - </w:t>
      </w:r>
      <w:proofErr w:type="spellStart"/>
      <w:r w:rsidRPr="00F55400">
        <w:rPr>
          <w:color w:val="000000"/>
        </w:rPr>
        <w:t>Raiffeisenbank</w:t>
      </w:r>
      <w:proofErr w:type="spellEnd"/>
      <w:r w:rsidRPr="00F55400">
        <w:rPr>
          <w:color w:val="000000"/>
        </w:rPr>
        <w:t xml:space="preserve"> Hrvatska</w:t>
      </w:r>
      <w:r w:rsidRPr="009548E1">
        <w:rPr>
          <w:color w:val="000000"/>
        </w:rPr>
        <w:t>. Kamatna stopa je promjenjiva, jednaka zbroju šestomjesečnog EURIBOR-a i marže u iznos</w:t>
      </w:r>
      <w:r>
        <w:rPr>
          <w:color w:val="000000"/>
        </w:rPr>
        <w:t>u od 0,13% godišnje. Glavnica</w:t>
      </w:r>
      <w:r w:rsidRPr="009548E1">
        <w:rPr>
          <w:color w:val="000000"/>
        </w:rPr>
        <w:t xml:space="preserve"> se otp</w:t>
      </w:r>
      <w:r>
        <w:rPr>
          <w:color w:val="000000"/>
        </w:rPr>
        <w:t>laćuje</w:t>
      </w:r>
      <w:r w:rsidRPr="009548E1">
        <w:rPr>
          <w:color w:val="000000"/>
        </w:rPr>
        <w:t xml:space="preserve"> u osam jednakih polugodišnjih rata od kojih prva dospijeva na naplatu u roku od 6 mjeseci od dana korištenja kredita.</w:t>
      </w:r>
    </w:p>
    <w:p w14:paraId="77C50AC4" w14:textId="77777777" w:rsidR="00293F62" w:rsidRPr="009548E1" w:rsidRDefault="00293F62" w:rsidP="00293F62">
      <w:pPr>
        <w:shd w:val="clear" w:color="auto" w:fill="FFFFFF"/>
        <w:jc w:val="both"/>
        <w:rPr>
          <w:color w:val="000000"/>
        </w:rPr>
      </w:pPr>
      <w:r w:rsidRPr="009548E1">
        <w:rPr>
          <w:color w:val="000000"/>
        </w:rPr>
        <w:t> </w:t>
      </w:r>
    </w:p>
    <w:p w14:paraId="5D3AF32B" w14:textId="77777777" w:rsidR="00293F62" w:rsidRPr="009548E1" w:rsidRDefault="00293F62" w:rsidP="00293F62">
      <w:pPr>
        <w:numPr>
          <w:ilvl w:val="0"/>
          <w:numId w:val="22"/>
        </w:numPr>
        <w:tabs>
          <w:tab w:val="left" w:pos="360"/>
        </w:tabs>
        <w:contextualSpacing/>
      </w:pPr>
      <w:r w:rsidRPr="009548E1">
        <w:t>Kredit u iznosu od 300.000.000,00 eura</w:t>
      </w:r>
    </w:p>
    <w:p w14:paraId="398F9D1A" w14:textId="77777777" w:rsidR="00293F62" w:rsidRPr="009548E1" w:rsidRDefault="00293F62" w:rsidP="00293F62">
      <w:pPr>
        <w:shd w:val="clear" w:color="auto" w:fill="FFFFFF"/>
        <w:jc w:val="both"/>
        <w:rPr>
          <w:color w:val="000000"/>
        </w:rPr>
      </w:pPr>
      <w:r w:rsidRPr="009548E1">
        <w:rPr>
          <w:color w:val="000000"/>
        </w:rPr>
        <w:t>Republika Hrvatska se u siječnju zadužila na domaćem financijskom tržištu u iznosu 300 milijuna eura</w:t>
      </w:r>
      <w:r>
        <w:rPr>
          <w:color w:val="000000"/>
        </w:rPr>
        <w:t xml:space="preserve"> kod Zagrebačke banke d.d</w:t>
      </w:r>
      <w:r w:rsidRPr="009548E1">
        <w:rPr>
          <w:color w:val="000000"/>
        </w:rPr>
        <w:t>. Kamatna stopa je fiksna, 3,234% godišnje, uz polugodišn</w:t>
      </w:r>
      <w:r>
        <w:rPr>
          <w:color w:val="000000"/>
        </w:rPr>
        <w:t>ji obračun i plaćanje. Glavnica se otplaćuje</w:t>
      </w:r>
      <w:r w:rsidRPr="009548E1">
        <w:rPr>
          <w:color w:val="000000"/>
        </w:rPr>
        <w:t xml:space="preserve"> u jednakim polugodišnjim ratama od kojih </w:t>
      </w:r>
      <w:r>
        <w:rPr>
          <w:color w:val="000000"/>
        </w:rPr>
        <w:t xml:space="preserve">je </w:t>
      </w:r>
      <w:r w:rsidRPr="009548E1">
        <w:rPr>
          <w:color w:val="000000"/>
        </w:rPr>
        <w:t xml:space="preserve">prva </w:t>
      </w:r>
      <w:r>
        <w:rPr>
          <w:color w:val="000000"/>
        </w:rPr>
        <w:t>dospjela</w:t>
      </w:r>
      <w:r w:rsidRPr="009548E1">
        <w:rPr>
          <w:color w:val="000000"/>
        </w:rPr>
        <w:t xml:space="preserve"> na naplatu 31. srpnja 2023, a posljednja</w:t>
      </w:r>
      <w:r>
        <w:rPr>
          <w:color w:val="000000"/>
        </w:rPr>
        <w:t xml:space="preserve"> dospijeva</w:t>
      </w:r>
      <w:r w:rsidRPr="009548E1">
        <w:rPr>
          <w:color w:val="000000"/>
        </w:rPr>
        <w:t xml:space="preserve"> 31. siječnja 2028. godine.</w:t>
      </w:r>
    </w:p>
    <w:p w14:paraId="45C865FF" w14:textId="77777777" w:rsidR="00293F62" w:rsidRPr="009548E1" w:rsidRDefault="00293F62" w:rsidP="00293F62">
      <w:pPr>
        <w:keepNext/>
        <w:rPr>
          <w:color w:val="000000"/>
        </w:rPr>
      </w:pPr>
      <w:r w:rsidRPr="009548E1">
        <w:rPr>
          <w:color w:val="000000"/>
        </w:rPr>
        <w:t xml:space="preserve">Analitika obveza za kredite </w:t>
      </w:r>
      <w:r>
        <w:rPr>
          <w:color w:val="000000"/>
        </w:rPr>
        <w:t>sveučilišta daje se u Tablici 12</w:t>
      </w:r>
      <w:r w:rsidRPr="009548E1">
        <w:rPr>
          <w:color w:val="000000"/>
        </w:rPr>
        <w:t>.</w:t>
      </w:r>
    </w:p>
    <w:p w14:paraId="33FDC4B3" w14:textId="77777777" w:rsidR="00293F62" w:rsidRPr="009548E1" w:rsidRDefault="00293F62" w:rsidP="00293F62">
      <w:pPr>
        <w:keepNext/>
        <w:rPr>
          <w:color w:val="000000"/>
        </w:rPr>
      </w:pPr>
    </w:p>
    <w:p w14:paraId="296FD16F" w14:textId="77777777" w:rsidR="00293F62" w:rsidRPr="009548E1" w:rsidRDefault="00293F62" w:rsidP="00293F62">
      <w:pPr>
        <w:keepNext/>
        <w:jc w:val="both"/>
        <w:rPr>
          <w:b/>
          <w:sz w:val="20"/>
          <w:szCs w:val="20"/>
        </w:rPr>
      </w:pPr>
      <w:r>
        <w:rPr>
          <w:b/>
          <w:sz w:val="20"/>
          <w:szCs w:val="20"/>
        </w:rPr>
        <w:t>Tablica 12</w:t>
      </w:r>
      <w:r w:rsidRPr="009548E1">
        <w:rPr>
          <w:b/>
          <w:sz w:val="20"/>
          <w:szCs w:val="20"/>
        </w:rPr>
        <w:t>.</w:t>
      </w:r>
      <w:r>
        <w:rPr>
          <w:b/>
          <w:sz w:val="20"/>
          <w:szCs w:val="20"/>
        </w:rPr>
        <w:t xml:space="preserve"> Analitički prikaz obveza za kredite sveučilišta</w:t>
      </w:r>
    </w:p>
    <w:tbl>
      <w:tblPr>
        <w:tblW w:w="8500" w:type="dxa"/>
        <w:tblLook w:val="04A0" w:firstRow="1" w:lastRow="0" w:firstColumn="1" w:lastColumn="0" w:noHBand="0" w:noVBand="1"/>
      </w:tblPr>
      <w:tblGrid>
        <w:gridCol w:w="661"/>
        <w:gridCol w:w="3460"/>
        <w:gridCol w:w="1760"/>
        <w:gridCol w:w="794"/>
        <w:gridCol w:w="2040"/>
      </w:tblGrid>
      <w:tr w:rsidR="00293F62" w:rsidRPr="009548E1" w14:paraId="4F17BE1B" w14:textId="77777777" w:rsidTr="005C7D38">
        <w:trPr>
          <w:trHeight w:val="615"/>
        </w:trPr>
        <w:tc>
          <w:tcPr>
            <w:tcW w:w="5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C250F6" w14:textId="77777777" w:rsidR="00293F62" w:rsidRPr="009548E1" w:rsidRDefault="00293F62" w:rsidP="005C7D38">
            <w:pPr>
              <w:jc w:val="center"/>
              <w:rPr>
                <w:b/>
                <w:bCs/>
                <w:color w:val="000000"/>
                <w:sz w:val="20"/>
                <w:szCs w:val="20"/>
              </w:rPr>
            </w:pPr>
            <w:r w:rsidRPr="009548E1">
              <w:rPr>
                <w:b/>
                <w:bCs/>
                <w:color w:val="000000"/>
                <w:sz w:val="20"/>
                <w:szCs w:val="20"/>
              </w:rPr>
              <w:t>R.br.</w:t>
            </w:r>
          </w:p>
        </w:tc>
        <w:tc>
          <w:tcPr>
            <w:tcW w:w="3460" w:type="dxa"/>
            <w:tcBorders>
              <w:top w:val="single" w:sz="8" w:space="0" w:color="auto"/>
              <w:left w:val="nil"/>
              <w:bottom w:val="single" w:sz="8" w:space="0" w:color="auto"/>
              <w:right w:val="single" w:sz="4" w:space="0" w:color="auto"/>
            </w:tcBorders>
            <w:shd w:val="clear" w:color="auto" w:fill="auto"/>
            <w:noWrap/>
            <w:vAlign w:val="center"/>
            <w:hideMark/>
          </w:tcPr>
          <w:p w14:paraId="56A8CBB3" w14:textId="77777777" w:rsidR="00293F62" w:rsidRPr="009548E1" w:rsidRDefault="00293F62" w:rsidP="005C7D38">
            <w:pPr>
              <w:jc w:val="center"/>
              <w:rPr>
                <w:b/>
                <w:bCs/>
                <w:color w:val="000000"/>
                <w:sz w:val="20"/>
                <w:szCs w:val="20"/>
              </w:rPr>
            </w:pPr>
            <w:r w:rsidRPr="009548E1">
              <w:rPr>
                <w:b/>
                <w:bCs/>
                <w:color w:val="000000"/>
                <w:sz w:val="20"/>
                <w:szCs w:val="20"/>
              </w:rPr>
              <w:t>Opis</w:t>
            </w:r>
          </w:p>
        </w:tc>
        <w:tc>
          <w:tcPr>
            <w:tcW w:w="1760" w:type="dxa"/>
            <w:tcBorders>
              <w:top w:val="single" w:sz="8" w:space="0" w:color="auto"/>
              <w:left w:val="nil"/>
              <w:bottom w:val="single" w:sz="8" w:space="0" w:color="auto"/>
              <w:right w:val="single" w:sz="4" w:space="0" w:color="auto"/>
            </w:tcBorders>
            <w:shd w:val="clear" w:color="auto" w:fill="auto"/>
            <w:noWrap/>
            <w:vAlign w:val="center"/>
            <w:hideMark/>
          </w:tcPr>
          <w:p w14:paraId="249B862B" w14:textId="77777777" w:rsidR="00293F62" w:rsidRPr="009548E1" w:rsidRDefault="00293F62" w:rsidP="005C7D38">
            <w:pPr>
              <w:jc w:val="center"/>
              <w:rPr>
                <w:b/>
                <w:bCs/>
                <w:color w:val="000000"/>
                <w:sz w:val="20"/>
                <w:szCs w:val="20"/>
              </w:rPr>
            </w:pPr>
            <w:r w:rsidRPr="009548E1">
              <w:rPr>
                <w:b/>
                <w:bCs/>
                <w:color w:val="000000"/>
                <w:sz w:val="20"/>
                <w:szCs w:val="20"/>
              </w:rPr>
              <w:t>Banka</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14:paraId="7D76E7EC" w14:textId="77777777" w:rsidR="00293F62" w:rsidRPr="009548E1" w:rsidRDefault="00293F62" w:rsidP="005C7D38">
            <w:pPr>
              <w:jc w:val="center"/>
              <w:rPr>
                <w:b/>
                <w:bCs/>
                <w:color w:val="000000"/>
                <w:sz w:val="20"/>
                <w:szCs w:val="20"/>
              </w:rPr>
            </w:pPr>
            <w:r w:rsidRPr="009548E1">
              <w:rPr>
                <w:b/>
                <w:bCs/>
                <w:color w:val="000000"/>
                <w:sz w:val="20"/>
                <w:szCs w:val="20"/>
              </w:rPr>
              <w:t>Valuta</w:t>
            </w:r>
          </w:p>
        </w:tc>
        <w:tc>
          <w:tcPr>
            <w:tcW w:w="2040" w:type="dxa"/>
            <w:tcBorders>
              <w:top w:val="single" w:sz="8" w:space="0" w:color="auto"/>
              <w:left w:val="nil"/>
              <w:bottom w:val="single" w:sz="8" w:space="0" w:color="auto"/>
              <w:right w:val="single" w:sz="8" w:space="0" w:color="auto"/>
            </w:tcBorders>
            <w:shd w:val="clear" w:color="auto" w:fill="auto"/>
            <w:vAlign w:val="center"/>
            <w:hideMark/>
          </w:tcPr>
          <w:p w14:paraId="55AC53CD" w14:textId="77777777" w:rsidR="00293F62" w:rsidRPr="009548E1" w:rsidRDefault="00293F62" w:rsidP="005C7D38">
            <w:pPr>
              <w:jc w:val="center"/>
              <w:rPr>
                <w:b/>
                <w:bCs/>
                <w:sz w:val="20"/>
                <w:szCs w:val="20"/>
              </w:rPr>
            </w:pPr>
            <w:r w:rsidRPr="009548E1">
              <w:rPr>
                <w:b/>
                <w:bCs/>
                <w:sz w:val="20"/>
                <w:szCs w:val="20"/>
              </w:rPr>
              <w:t xml:space="preserve"> Stanje obveza na 31.12.2023.</w:t>
            </w:r>
          </w:p>
        </w:tc>
      </w:tr>
      <w:tr w:rsidR="00293F62" w:rsidRPr="009548E1" w14:paraId="77752AF1" w14:textId="77777777" w:rsidTr="005C7D38">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5CE4FB75" w14:textId="77777777" w:rsidR="00293F62" w:rsidRPr="009548E1" w:rsidRDefault="00293F62" w:rsidP="005C7D38">
            <w:pPr>
              <w:jc w:val="center"/>
              <w:rPr>
                <w:color w:val="000000"/>
                <w:sz w:val="16"/>
                <w:szCs w:val="16"/>
              </w:rPr>
            </w:pPr>
            <w:r w:rsidRPr="009548E1">
              <w:rPr>
                <w:color w:val="000000"/>
                <w:sz w:val="16"/>
                <w:szCs w:val="16"/>
              </w:rPr>
              <w:t>1.</w:t>
            </w:r>
          </w:p>
        </w:tc>
        <w:tc>
          <w:tcPr>
            <w:tcW w:w="3460" w:type="dxa"/>
            <w:tcBorders>
              <w:top w:val="nil"/>
              <w:left w:val="nil"/>
              <w:bottom w:val="single" w:sz="4" w:space="0" w:color="auto"/>
              <w:right w:val="single" w:sz="4" w:space="0" w:color="auto"/>
            </w:tcBorders>
            <w:shd w:val="clear" w:color="auto" w:fill="auto"/>
            <w:noWrap/>
            <w:vAlign w:val="center"/>
            <w:hideMark/>
          </w:tcPr>
          <w:p w14:paraId="578F95B0" w14:textId="77777777" w:rsidR="00293F62" w:rsidRPr="009548E1" w:rsidRDefault="00293F62" w:rsidP="005C7D38">
            <w:pPr>
              <w:rPr>
                <w:color w:val="000000"/>
                <w:sz w:val="16"/>
                <w:szCs w:val="16"/>
              </w:rPr>
            </w:pPr>
            <w:r w:rsidRPr="009548E1">
              <w:rPr>
                <w:color w:val="000000"/>
                <w:sz w:val="16"/>
                <w:szCs w:val="16"/>
              </w:rPr>
              <w:t>Sveučilište u Rijeci</w:t>
            </w:r>
          </w:p>
        </w:tc>
        <w:tc>
          <w:tcPr>
            <w:tcW w:w="1760" w:type="dxa"/>
            <w:tcBorders>
              <w:top w:val="nil"/>
              <w:left w:val="nil"/>
              <w:bottom w:val="single" w:sz="4" w:space="0" w:color="auto"/>
              <w:right w:val="single" w:sz="4" w:space="0" w:color="auto"/>
            </w:tcBorders>
            <w:shd w:val="clear" w:color="auto" w:fill="auto"/>
            <w:noWrap/>
            <w:vAlign w:val="center"/>
            <w:hideMark/>
          </w:tcPr>
          <w:p w14:paraId="3A6E6724" w14:textId="77777777" w:rsidR="00293F62" w:rsidRPr="009548E1" w:rsidRDefault="00293F62" w:rsidP="005C7D38">
            <w:pPr>
              <w:jc w:val="center"/>
              <w:rPr>
                <w:color w:val="000000"/>
                <w:sz w:val="16"/>
                <w:szCs w:val="16"/>
              </w:rPr>
            </w:pPr>
            <w:r w:rsidRPr="009548E1">
              <w:rPr>
                <w:color w:val="000000"/>
                <w:sz w:val="16"/>
                <w:szCs w:val="16"/>
              </w:rPr>
              <w:t>ZABA</w:t>
            </w:r>
          </w:p>
        </w:tc>
        <w:tc>
          <w:tcPr>
            <w:tcW w:w="700" w:type="dxa"/>
            <w:tcBorders>
              <w:top w:val="nil"/>
              <w:left w:val="nil"/>
              <w:bottom w:val="single" w:sz="4" w:space="0" w:color="auto"/>
              <w:right w:val="single" w:sz="4" w:space="0" w:color="auto"/>
            </w:tcBorders>
            <w:shd w:val="clear" w:color="auto" w:fill="auto"/>
            <w:noWrap/>
            <w:vAlign w:val="center"/>
            <w:hideMark/>
          </w:tcPr>
          <w:p w14:paraId="3877A0A0" w14:textId="77777777" w:rsidR="00293F62" w:rsidRPr="009548E1" w:rsidRDefault="00293F62" w:rsidP="005C7D38">
            <w:pPr>
              <w:jc w:val="center"/>
              <w:rPr>
                <w:b/>
                <w:bCs/>
                <w:color w:val="000000"/>
                <w:sz w:val="16"/>
                <w:szCs w:val="16"/>
              </w:rPr>
            </w:pPr>
            <w:r w:rsidRPr="009548E1">
              <w:rPr>
                <w:b/>
                <w:bCs/>
                <w:color w:val="000000"/>
                <w:sz w:val="16"/>
                <w:szCs w:val="16"/>
              </w:rPr>
              <w:t>EUR</w:t>
            </w:r>
          </w:p>
        </w:tc>
        <w:tc>
          <w:tcPr>
            <w:tcW w:w="2040" w:type="dxa"/>
            <w:tcBorders>
              <w:top w:val="nil"/>
              <w:left w:val="nil"/>
              <w:bottom w:val="single" w:sz="4" w:space="0" w:color="auto"/>
              <w:right w:val="single" w:sz="8" w:space="0" w:color="auto"/>
            </w:tcBorders>
            <w:shd w:val="clear" w:color="auto" w:fill="auto"/>
            <w:noWrap/>
            <w:vAlign w:val="center"/>
            <w:hideMark/>
          </w:tcPr>
          <w:p w14:paraId="6059FE14" w14:textId="77777777" w:rsidR="00293F62" w:rsidRPr="009548E1" w:rsidRDefault="00293F62" w:rsidP="005C7D38">
            <w:pPr>
              <w:jc w:val="right"/>
              <w:rPr>
                <w:sz w:val="16"/>
                <w:szCs w:val="16"/>
              </w:rPr>
            </w:pPr>
            <w:r w:rsidRPr="009548E1">
              <w:rPr>
                <w:sz w:val="16"/>
                <w:szCs w:val="16"/>
              </w:rPr>
              <w:t>973.129,14</w:t>
            </w:r>
          </w:p>
        </w:tc>
      </w:tr>
      <w:tr w:rsidR="00293F62" w:rsidRPr="009548E1" w14:paraId="235E9A4A" w14:textId="77777777" w:rsidTr="005C7D38">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64FD4C0C" w14:textId="77777777" w:rsidR="00293F62" w:rsidRPr="009548E1" w:rsidRDefault="00293F62" w:rsidP="005C7D38">
            <w:pPr>
              <w:jc w:val="center"/>
              <w:rPr>
                <w:color w:val="000000"/>
                <w:sz w:val="16"/>
                <w:szCs w:val="16"/>
              </w:rPr>
            </w:pPr>
            <w:r w:rsidRPr="009548E1">
              <w:rPr>
                <w:color w:val="000000"/>
                <w:sz w:val="16"/>
                <w:szCs w:val="16"/>
              </w:rPr>
              <w:t>2.</w:t>
            </w:r>
          </w:p>
        </w:tc>
        <w:tc>
          <w:tcPr>
            <w:tcW w:w="3460" w:type="dxa"/>
            <w:tcBorders>
              <w:top w:val="nil"/>
              <w:left w:val="nil"/>
              <w:bottom w:val="single" w:sz="4" w:space="0" w:color="auto"/>
              <w:right w:val="single" w:sz="4" w:space="0" w:color="auto"/>
            </w:tcBorders>
            <w:shd w:val="clear" w:color="auto" w:fill="auto"/>
            <w:noWrap/>
            <w:vAlign w:val="center"/>
            <w:hideMark/>
          </w:tcPr>
          <w:p w14:paraId="645B42CC" w14:textId="77777777" w:rsidR="00293F62" w:rsidRPr="009548E1" w:rsidRDefault="00293F62" w:rsidP="005C7D38">
            <w:pPr>
              <w:rPr>
                <w:color w:val="000000"/>
                <w:sz w:val="16"/>
                <w:szCs w:val="16"/>
              </w:rPr>
            </w:pPr>
            <w:r w:rsidRPr="009548E1">
              <w:rPr>
                <w:color w:val="000000"/>
                <w:sz w:val="16"/>
                <w:szCs w:val="16"/>
              </w:rPr>
              <w:t>Sveučilište u Splitu</w:t>
            </w:r>
          </w:p>
        </w:tc>
        <w:tc>
          <w:tcPr>
            <w:tcW w:w="1760" w:type="dxa"/>
            <w:tcBorders>
              <w:top w:val="nil"/>
              <w:left w:val="nil"/>
              <w:bottom w:val="single" w:sz="4" w:space="0" w:color="auto"/>
              <w:right w:val="single" w:sz="4" w:space="0" w:color="auto"/>
            </w:tcBorders>
            <w:shd w:val="clear" w:color="auto" w:fill="auto"/>
            <w:noWrap/>
            <w:vAlign w:val="center"/>
            <w:hideMark/>
          </w:tcPr>
          <w:p w14:paraId="1C1E6F2B" w14:textId="77777777" w:rsidR="00293F62" w:rsidRPr="009548E1" w:rsidRDefault="00293F62" w:rsidP="005C7D38">
            <w:pPr>
              <w:jc w:val="center"/>
              <w:rPr>
                <w:color w:val="000000"/>
                <w:sz w:val="16"/>
                <w:szCs w:val="16"/>
              </w:rPr>
            </w:pPr>
            <w:r w:rsidRPr="009548E1">
              <w:rPr>
                <w:color w:val="000000"/>
                <w:sz w:val="16"/>
                <w:szCs w:val="16"/>
              </w:rPr>
              <w:t>ZABA + PBZ</w:t>
            </w:r>
          </w:p>
        </w:tc>
        <w:tc>
          <w:tcPr>
            <w:tcW w:w="700" w:type="dxa"/>
            <w:tcBorders>
              <w:top w:val="nil"/>
              <w:left w:val="nil"/>
              <w:bottom w:val="single" w:sz="4" w:space="0" w:color="auto"/>
              <w:right w:val="single" w:sz="4" w:space="0" w:color="auto"/>
            </w:tcBorders>
            <w:shd w:val="clear" w:color="auto" w:fill="auto"/>
            <w:noWrap/>
            <w:vAlign w:val="center"/>
            <w:hideMark/>
          </w:tcPr>
          <w:p w14:paraId="569B7D0B" w14:textId="77777777" w:rsidR="00293F62" w:rsidRPr="009548E1" w:rsidRDefault="00293F62" w:rsidP="005C7D38">
            <w:pPr>
              <w:jc w:val="center"/>
              <w:rPr>
                <w:b/>
                <w:bCs/>
                <w:color w:val="000000"/>
                <w:sz w:val="16"/>
                <w:szCs w:val="16"/>
              </w:rPr>
            </w:pPr>
            <w:r w:rsidRPr="009548E1">
              <w:rPr>
                <w:b/>
                <w:bCs/>
                <w:color w:val="000000"/>
                <w:sz w:val="16"/>
                <w:szCs w:val="16"/>
              </w:rPr>
              <w:t>EUR</w:t>
            </w:r>
          </w:p>
        </w:tc>
        <w:tc>
          <w:tcPr>
            <w:tcW w:w="2040" w:type="dxa"/>
            <w:tcBorders>
              <w:top w:val="nil"/>
              <w:left w:val="nil"/>
              <w:bottom w:val="single" w:sz="4" w:space="0" w:color="auto"/>
              <w:right w:val="single" w:sz="8" w:space="0" w:color="auto"/>
            </w:tcBorders>
            <w:shd w:val="clear" w:color="auto" w:fill="auto"/>
            <w:noWrap/>
            <w:vAlign w:val="center"/>
            <w:hideMark/>
          </w:tcPr>
          <w:p w14:paraId="2618E038" w14:textId="77777777" w:rsidR="00293F62" w:rsidRPr="009548E1" w:rsidRDefault="00293F62" w:rsidP="005C7D38">
            <w:pPr>
              <w:jc w:val="right"/>
              <w:rPr>
                <w:sz w:val="16"/>
                <w:szCs w:val="16"/>
              </w:rPr>
            </w:pPr>
            <w:r w:rsidRPr="009548E1">
              <w:rPr>
                <w:sz w:val="16"/>
                <w:szCs w:val="16"/>
              </w:rPr>
              <w:t>7.503.943,37</w:t>
            </w:r>
          </w:p>
        </w:tc>
      </w:tr>
      <w:tr w:rsidR="00293F62" w:rsidRPr="009548E1" w14:paraId="145D5CE6" w14:textId="77777777" w:rsidTr="005C7D38">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F51C978" w14:textId="77777777" w:rsidR="00293F62" w:rsidRPr="009548E1" w:rsidRDefault="00293F62" w:rsidP="005C7D38">
            <w:pPr>
              <w:jc w:val="center"/>
              <w:rPr>
                <w:color w:val="000000"/>
                <w:sz w:val="16"/>
                <w:szCs w:val="16"/>
              </w:rPr>
            </w:pPr>
            <w:r w:rsidRPr="009548E1">
              <w:rPr>
                <w:color w:val="000000"/>
                <w:sz w:val="16"/>
                <w:szCs w:val="16"/>
              </w:rPr>
              <w:t>3.</w:t>
            </w:r>
          </w:p>
        </w:tc>
        <w:tc>
          <w:tcPr>
            <w:tcW w:w="3460" w:type="dxa"/>
            <w:tcBorders>
              <w:top w:val="nil"/>
              <w:left w:val="nil"/>
              <w:bottom w:val="single" w:sz="4" w:space="0" w:color="auto"/>
              <w:right w:val="single" w:sz="4" w:space="0" w:color="auto"/>
            </w:tcBorders>
            <w:shd w:val="clear" w:color="auto" w:fill="auto"/>
            <w:noWrap/>
            <w:vAlign w:val="center"/>
            <w:hideMark/>
          </w:tcPr>
          <w:p w14:paraId="7FAAF075" w14:textId="77777777" w:rsidR="00293F62" w:rsidRPr="009548E1" w:rsidRDefault="00293F62" w:rsidP="005C7D38">
            <w:pPr>
              <w:rPr>
                <w:color w:val="000000"/>
                <w:sz w:val="16"/>
                <w:szCs w:val="16"/>
              </w:rPr>
            </w:pPr>
            <w:r w:rsidRPr="009548E1">
              <w:rPr>
                <w:color w:val="000000"/>
                <w:sz w:val="16"/>
                <w:szCs w:val="16"/>
              </w:rPr>
              <w:t>Sveučilište u Osijeku</w:t>
            </w:r>
          </w:p>
        </w:tc>
        <w:tc>
          <w:tcPr>
            <w:tcW w:w="1760" w:type="dxa"/>
            <w:tcBorders>
              <w:top w:val="nil"/>
              <w:left w:val="nil"/>
              <w:bottom w:val="single" w:sz="4" w:space="0" w:color="auto"/>
              <w:right w:val="single" w:sz="4" w:space="0" w:color="auto"/>
            </w:tcBorders>
            <w:shd w:val="clear" w:color="auto" w:fill="auto"/>
            <w:noWrap/>
            <w:vAlign w:val="center"/>
            <w:hideMark/>
          </w:tcPr>
          <w:p w14:paraId="5BD7C00C" w14:textId="77777777" w:rsidR="00293F62" w:rsidRPr="009548E1" w:rsidRDefault="00293F62" w:rsidP="005C7D38">
            <w:pPr>
              <w:jc w:val="center"/>
              <w:rPr>
                <w:color w:val="000000"/>
                <w:sz w:val="16"/>
                <w:szCs w:val="16"/>
              </w:rPr>
            </w:pPr>
            <w:proofErr w:type="spellStart"/>
            <w:r w:rsidRPr="009548E1">
              <w:rPr>
                <w:color w:val="000000"/>
                <w:sz w:val="16"/>
                <w:szCs w:val="16"/>
              </w:rPr>
              <w:t>Addiko</w:t>
            </w:r>
            <w:proofErr w:type="spellEnd"/>
            <w:r w:rsidRPr="009548E1">
              <w:rPr>
                <w:color w:val="000000"/>
                <w:sz w:val="16"/>
                <w:szCs w:val="16"/>
              </w:rPr>
              <w:t xml:space="preserve"> Bank</w:t>
            </w:r>
          </w:p>
        </w:tc>
        <w:tc>
          <w:tcPr>
            <w:tcW w:w="700" w:type="dxa"/>
            <w:tcBorders>
              <w:top w:val="nil"/>
              <w:left w:val="nil"/>
              <w:bottom w:val="single" w:sz="4" w:space="0" w:color="auto"/>
              <w:right w:val="single" w:sz="4" w:space="0" w:color="auto"/>
            </w:tcBorders>
            <w:shd w:val="clear" w:color="auto" w:fill="auto"/>
            <w:noWrap/>
            <w:vAlign w:val="center"/>
            <w:hideMark/>
          </w:tcPr>
          <w:p w14:paraId="7EEF7CD3" w14:textId="77777777" w:rsidR="00293F62" w:rsidRPr="009548E1" w:rsidRDefault="00293F62" w:rsidP="005C7D38">
            <w:pPr>
              <w:jc w:val="center"/>
              <w:rPr>
                <w:b/>
                <w:bCs/>
                <w:color w:val="000000"/>
                <w:sz w:val="16"/>
                <w:szCs w:val="16"/>
              </w:rPr>
            </w:pPr>
            <w:r w:rsidRPr="009548E1">
              <w:rPr>
                <w:b/>
                <w:bCs/>
                <w:color w:val="000000"/>
                <w:sz w:val="16"/>
                <w:szCs w:val="16"/>
              </w:rPr>
              <w:t>EUR</w:t>
            </w:r>
          </w:p>
        </w:tc>
        <w:tc>
          <w:tcPr>
            <w:tcW w:w="2040" w:type="dxa"/>
            <w:tcBorders>
              <w:top w:val="nil"/>
              <w:left w:val="nil"/>
              <w:bottom w:val="single" w:sz="4" w:space="0" w:color="auto"/>
              <w:right w:val="single" w:sz="8" w:space="0" w:color="auto"/>
            </w:tcBorders>
            <w:shd w:val="clear" w:color="auto" w:fill="auto"/>
            <w:noWrap/>
            <w:vAlign w:val="center"/>
            <w:hideMark/>
          </w:tcPr>
          <w:p w14:paraId="44949D25" w14:textId="77777777" w:rsidR="00293F62" w:rsidRPr="009548E1" w:rsidRDefault="00293F62" w:rsidP="005C7D38">
            <w:pPr>
              <w:jc w:val="right"/>
              <w:rPr>
                <w:sz w:val="16"/>
                <w:szCs w:val="16"/>
              </w:rPr>
            </w:pPr>
            <w:r w:rsidRPr="009548E1">
              <w:rPr>
                <w:sz w:val="16"/>
                <w:szCs w:val="16"/>
              </w:rPr>
              <w:t>8.667.454,55</w:t>
            </w:r>
          </w:p>
        </w:tc>
      </w:tr>
      <w:tr w:rsidR="00293F62" w:rsidRPr="009548E1" w14:paraId="33274071" w14:textId="77777777" w:rsidTr="005C7D38">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5CC1AFD5" w14:textId="77777777" w:rsidR="00293F62" w:rsidRPr="009548E1" w:rsidRDefault="00293F62" w:rsidP="005C7D38">
            <w:pPr>
              <w:jc w:val="center"/>
              <w:rPr>
                <w:color w:val="000000"/>
                <w:sz w:val="16"/>
                <w:szCs w:val="16"/>
              </w:rPr>
            </w:pPr>
            <w:r w:rsidRPr="009548E1">
              <w:rPr>
                <w:color w:val="000000"/>
                <w:sz w:val="16"/>
                <w:szCs w:val="16"/>
              </w:rPr>
              <w:t>4.</w:t>
            </w:r>
          </w:p>
        </w:tc>
        <w:tc>
          <w:tcPr>
            <w:tcW w:w="3460" w:type="dxa"/>
            <w:tcBorders>
              <w:top w:val="nil"/>
              <w:left w:val="nil"/>
              <w:bottom w:val="single" w:sz="4" w:space="0" w:color="auto"/>
              <w:right w:val="single" w:sz="4" w:space="0" w:color="auto"/>
            </w:tcBorders>
            <w:shd w:val="clear" w:color="auto" w:fill="auto"/>
            <w:noWrap/>
            <w:vAlign w:val="center"/>
            <w:hideMark/>
          </w:tcPr>
          <w:p w14:paraId="0D8354C6" w14:textId="77777777" w:rsidR="00293F62" w:rsidRPr="009548E1" w:rsidRDefault="00293F62" w:rsidP="005C7D38">
            <w:pPr>
              <w:rPr>
                <w:color w:val="000000"/>
                <w:sz w:val="16"/>
                <w:szCs w:val="16"/>
              </w:rPr>
            </w:pPr>
            <w:r w:rsidRPr="009548E1">
              <w:rPr>
                <w:color w:val="000000"/>
                <w:sz w:val="16"/>
                <w:szCs w:val="16"/>
              </w:rPr>
              <w:t>Sveučilište u Zagrebu</w:t>
            </w:r>
          </w:p>
        </w:tc>
        <w:tc>
          <w:tcPr>
            <w:tcW w:w="1760" w:type="dxa"/>
            <w:tcBorders>
              <w:top w:val="nil"/>
              <w:left w:val="nil"/>
              <w:bottom w:val="single" w:sz="4" w:space="0" w:color="auto"/>
              <w:right w:val="single" w:sz="4" w:space="0" w:color="auto"/>
            </w:tcBorders>
            <w:shd w:val="clear" w:color="auto" w:fill="auto"/>
            <w:noWrap/>
            <w:vAlign w:val="center"/>
            <w:hideMark/>
          </w:tcPr>
          <w:p w14:paraId="0257F3F8" w14:textId="77777777" w:rsidR="00293F62" w:rsidRPr="009548E1" w:rsidRDefault="00293F62" w:rsidP="005C7D38">
            <w:pPr>
              <w:jc w:val="center"/>
              <w:rPr>
                <w:color w:val="000000"/>
                <w:sz w:val="16"/>
                <w:szCs w:val="16"/>
              </w:rPr>
            </w:pPr>
            <w:r w:rsidRPr="009548E1">
              <w:rPr>
                <w:color w:val="000000"/>
                <w:sz w:val="16"/>
                <w:szCs w:val="16"/>
              </w:rPr>
              <w:t>PBZ</w:t>
            </w:r>
          </w:p>
        </w:tc>
        <w:tc>
          <w:tcPr>
            <w:tcW w:w="700" w:type="dxa"/>
            <w:tcBorders>
              <w:top w:val="nil"/>
              <w:left w:val="nil"/>
              <w:bottom w:val="single" w:sz="4" w:space="0" w:color="auto"/>
              <w:right w:val="single" w:sz="4" w:space="0" w:color="auto"/>
            </w:tcBorders>
            <w:shd w:val="clear" w:color="auto" w:fill="auto"/>
            <w:noWrap/>
            <w:vAlign w:val="center"/>
            <w:hideMark/>
          </w:tcPr>
          <w:p w14:paraId="033721E0" w14:textId="77777777" w:rsidR="00293F62" w:rsidRPr="009548E1" w:rsidRDefault="00293F62" w:rsidP="005C7D38">
            <w:pPr>
              <w:jc w:val="center"/>
              <w:rPr>
                <w:b/>
                <w:bCs/>
                <w:color w:val="000000"/>
                <w:sz w:val="16"/>
                <w:szCs w:val="16"/>
              </w:rPr>
            </w:pPr>
            <w:r w:rsidRPr="009548E1">
              <w:rPr>
                <w:b/>
                <w:bCs/>
                <w:color w:val="000000"/>
                <w:sz w:val="16"/>
                <w:szCs w:val="16"/>
              </w:rPr>
              <w:t>EUR</w:t>
            </w:r>
          </w:p>
        </w:tc>
        <w:tc>
          <w:tcPr>
            <w:tcW w:w="2040" w:type="dxa"/>
            <w:tcBorders>
              <w:top w:val="nil"/>
              <w:left w:val="nil"/>
              <w:bottom w:val="single" w:sz="4" w:space="0" w:color="auto"/>
              <w:right w:val="single" w:sz="8" w:space="0" w:color="auto"/>
            </w:tcBorders>
            <w:shd w:val="clear" w:color="auto" w:fill="auto"/>
            <w:noWrap/>
            <w:vAlign w:val="center"/>
            <w:hideMark/>
          </w:tcPr>
          <w:p w14:paraId="751B4B5E" w14:textId="77777777" w:rsidR="00293F62" w:rsidRPr="009548E1" w:rsidRDefault="00293F62" w:rsidP="005C7D38">
            <w:pPr>
              <w:jc w:val="right"/>
              <w:rPr>
                <w:sz w:val="16"/>
                <w:szCs w:val="16"/>
              </w:rPr>
            </w:pPr>
            <w:r w:rsidRPr="009548E1">
              <w:rPr>
                <w:sz w:val="16"/>
                <w:szCs w:val="16"/>
              </w:rPr>
              <w:t>0,00</w:t>
            </w:r>
          </w:p>
        </w:tc>
      </w:tr>
      <w:tr w:rsidR="00293F62" w:rsidRPr="009548E1" w14:paraId="77B02032" w14:textId="77777777" w:rsidTr="005C7D38">
        <w:trPr>
          <w:trHeight w:val="315"/>
        </w:trPr>
        <w:tc>
          <w:tcPr>
            <w:tcW w:w="540" w:type="dxa"/>
            <w:tcBorders>
              <w:top w:val="nil"/>
              <w:left w:val="single" w:sz="8" w:space="0" w:color="auto"/>
              <w:bottom w:val="nil"/>
              <w:right w:val="single" w:sz="4" w:space="0" w:color="auto"/>
            </w:tcBorders>
            <w:shd w:val="clear" w:color="auto" w:fill="auto"/>
            <w:noWrap/>
            <w:vAlign w:val="center"/>
            <w:hideMark/>
          </w:tcPr>
          <w:p w14:paraId="03E00599" w14:textId="77777777" w:rsidR="00293F62" w:rsidRPr="009548E1" w:rsidRDefault="00293F62" w:rsidP="005C7D38">
            <w:pPr>
              <w:jc w:val="center"/>
              <w:rPr>
                <w:color w:val="000000"/>
                <w:sz w:val="16"/>
                <w:szCs w:val="16"/>
              </w:rPr>
            </w:pPr>
            <w:r w:rsidRPr="009548E1">
              <w:rPr>
                <w:color w:val="000000"/>
                <w:sz w:val="16"/>
                <w:szCs w:val="16"/>
              </w:rPr>
              <w:t>5.</w:t>
            </w:r>
          </w:p>
        </w:tc>
        <w:tc>
          <w:tcPr>
            <w:tcW w:w="3460" w:type="dxa"/>
            <w:tcBorders>
              <w:top w:val="nil"/>
              <w:left w:val="nil"/>
              <w:bottom w:val="nil"/>
              <w:right w:val="single" w:sz="4" w:space="0" w:color="auto"/>
            </w:tcBorders>
            <w:shd w:val="clear" w:color="auto" w:fill="auto"/>
            <w:noWrap/>
            <w:vAlign w:val="center"/>
            <w:hideMark/>
          </w:tcPr>
          <w:p w14:paraId="44436A31" w14:textId="77777777" w:rsidR="00293F62" w:rsidRPr="009548E1" w:rsidRDefault="00293F62" w:rsidP="005C7D38">
            <w:pPr>
              <w:rPr>
                <w:color w:val="000000"/>
                <w:sz w:val="16"/>
                <w:szCs w:val="16"/>
              </w:rPr>
            </w:pPr>
            <w:r w:rsidRPr="009548E1">
              <w:rPr>
                <w:color w:val="000000"/>
                <w:sz w:val="16"/>
                <w:szCs w:val="16"/>
              </w:rPr>
              <w:t>Sveučilište u Dubrovniku</w:t>
            </w:r>
          </w:p>
        </w:tc>
        <w:tc>
          <w:tcPr>
            <w:tcW w:w="1760" w:type="dxa"/>
            <w:tcBorders>
              <w:top w:val="nil"/>
              <w:left w:val="nil"/>
              <w:bottom w:val="nil"/>
              <w:right w:val="single" w:sz="4" w:space="0" w:color="auto"/>
            </w:tcBorders>
            <w:shd w:val="clear" w:color="auto" w:fill="auto"/>
            <w:noWrap/>
            <w:vAlign w:val="center"/>
            <w:hideMark/>
          </w:tcPr>
          <w:p w14:paraId="694DA8B3" w14:textId="77777777" w:rsidR="00293F62" w:rsidRPr="009548E1" w:rsidRDefault="00293F62" w:rsidP="005C7D38">
            <w:pPr>
              <w:jc w:val="center"/>
              <w:rPr>
                <w:color w:val="000000"/>
                <w:sz w:val="16"/>
                <w:szCs w:val="16"/>
              </w:rPr>
            </w:pPr>
            <w:r w:rsidRPr="009548E1">
              <w:rPr>
                <w:color w:val="000000"/>
                <w:sz w:val="16"/>
                <w:szCs w:val="16"/>
              </w:rPr>
              <w:t>ZABA</w:t>
            </w:r>
          </w:p>
        </w:tc>
        <w:tc>
          <w:tcPr>
            <w:tcW w:w="700" w:type="dxa"/>
            <w:tcBorders>
              <w:top w:val="nil"/>
              <w:left w:val="nil"/>
              <w:bottom w:val="single" w:sz="4" w:space="0" w:color="auto"/>
              <w:right w:val="single" w:sz="4" w:space="0" w:color="auto"/>
            </w:tcBorders>
            <w:shd w:val="clear" w:color="auto" w:fill="auto"/>
            <w:noWrap/>
            <w:vAlign w:val="center"/>
            <w:hideMark/>
          </w:tcPr>
          <w:p w14:paraId="634DBF21" w14:textId="77777777" w:rsidR="00293F62" w:rsidRPr="009548E1" w:rsidRDefault="00293F62" w:rsidP="005C7D38">
            <w:pPr>
              <w:jc w:val="center"/>
              <w:rPr>
                <w:b/>
                <w:bCs/>
                <w:color w:val="000000"/>
                <w:sz w:val="16"/>
                <w:szCs w:val="16"/>
              </w:rPr>
            </w:pPr>
            <w:r w:rsidRPr="009548E1">
              <w:rPr>
                <w:b/>
                <w:bCs/>
                <w:color w:val="000000"/>
                <w:sz w:val="16"/>
                <w:szCs w:val="16"/>
              </w:rPr>
              <w:t>EUR</w:t>
            </w:r>
          </w:p>
        </w:tc>
        <w:tc>
          <w:tcPr>
            <w:tcW w:w="2040" w:type="dxa"/>
            <w:tcBorders>
              <w:top w:val="nil"/>
              <w:left w:val="nil"/>
              <w:bottom w:val="single" w:sz="4" w:space="0" w:color="auto"/>
              <w:right w:val="single" w:sz="8" w:space="0" w:color="auto"/>
            </w:tcBorders>
            <w:shd w:val="clear" w:color="auto" w:fill="auto"/>
            <w:noWrap/>
            <w:vAlign w:val="center"/>
            <w:hideMark/>
          </w:tcPr>
          <w:p w14:paraId="38AA489A" w14:textId="77777777" w:rsidR="00293F62" w:rsidRPr="009548E1" w:rsidRDefault="00293F62" w:rsidP="005C7D38">
            <w:pPr>
              <w:jc w:val="right"/>
              <w:rPr>
                <w:sz w:val="16"/>
                <w:szCs w:val="16"/>
              </w:rPr>
            </w:pPr>
            <w:r w:rsidRPr="009548E1">
              <w:rPr>
                <w:sz w:val="16"/>
                <w:szCs w:val="16"/>
              </w:rPr>
              <w:t>522.096,35</w:t>
            </w:r>
          </w:p>
        </w:tc>
      </w:tr>
      <w:tr w:rsidR="00293F62" w:rsidRPr="009548E1" w14:paraId="68C01C94" w14:textId="77777777" w:rsidTr="005C7D38">
        <w:trPr>
          <w:trHeight w:val="315"/>
        </w:trPr>
        <w:tc>
          <w:tcPr>
            <w:tcW w:w="6460"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3AD01FB7" w14:textId="77777777" w:rsidR="00293F62" w:rsidRPr="009548E1" w:rsidRDefault="00293F62" w:rsidP="005C7D38">
            <w:pPr>
              <w:jc w:val="center"/>
              <w:rPr>
                <w:b/>
                <w:bCs/>
                <w:color w:val="000000"/>
                <w:sz w:val="16"/>
                <w:szCs w:val="16"/>
              </w:rPr>
            </w:pPr>
            <w:r w:rsidRPr="009548E1">
              <w:rPr>
                <w:b/>
                <w:bCs/>
                <w:color w:val="000000"/>
                <w:sz w:val="16"/>
                <w:szCs w:val="16"/>
              </w:rPr>
              <w:t> </w:t>
            </w:r>
          </w:p>
        </w:tc>
        <w:tc>
          <w:tcPr>
            <w:tcW w:w="2040" w:type="dxa"/>
            <w:tcBorders>
              <w:top w:val="single" w:sz="8" w:space="0" w:color="auto"/>
              <w:left w:val="nil"/>
              <w:bottom w:val="single" w:sz="8" w:space="0" w:color="auto"/>
              <w:right w:val="single" w:sz="8" w:space="0" w:color="auto"/>
            </w:tcBorders>
            <w:shd w:val="clear" w:color="auto" w:fill="auto"/>
            <w:noWrap/>
            <w:vAlign w:val="center"/>
            <w:hideMark/>
          </w:tcPr>
          <w:p w14:paraId="5D5D8B91" w14:textId="77777777" w:rsidR="00293F62" w:rsidRPr="009548E1" w:rsidRDefault="00293F62" w:rsidP="005C7D38">
            <w:pPr>
              <w:jc w:val="right"/>
              <w:rPr>
                <w:b/>
                <w:bCs/>
                <w:sz w:val="16"/>
                <w:szCs w:val="16"/>
              </w:rPr>
            </w:pPr>
            <w:r w:rsidRPr="009548E1">
              <w:rPr>
                <w:b/>
                <w:bCs/>
                <w:sz w:val="16"/>
                <w:szCs w:val="16"/>
              </w:rPr>
              <w:t>17.666.623,41</w:t>
            </w:r>
          </w:p>
        </w:tc>
      </w:tr>
    </w:tbl>
    <w:p w14:paraId="5DA88649" w14:textId="15345D24" w:rsidR="00293F62" w:rsidRPr="00293F62" w:rsidRDefault="00293F62" w:rsidP="00E562D9">
      <w:pPr>
        <w:keepNext/>
        <w:rPr>
          <w:bCs/>
          <w:sz w:val="28"/>
          <w:szCs w:val="28"/>
        </w:rPr>
      </w:pPr>
    </w:p>
    <w:p w14:paraId="18203EEF" w14:textId="360A5876" w:rsidR="00293F62" w:rsidRPr="009548E1" w:rsidRDefault="00E562D9" w:rsidP="00293F62">
      <w:pPr>
        <w:keepNext/>
        <w:jc w:val="center"/>
        <w:rPr>
          <w:bCs/>
          <w:sz w:val="28"/>
          <w:szCs w:val="28"/>
        </w:rPr>
      </w:pPr>
      <w:r>
        <w:rPr>
          <w:bCs/>
          <w:sz w:val="28"/>
          <w:szCs w:val="28"/>
        </w:rPr>
        <w:t>Bilješka 26</w:t>
      </w:r>
      <w:r w:rsidR="00293F62" w:rsidRPr="009548E1">
        <w:rPr>
          <w:bCs/>
          <w:sz w:val="28"/>
          <w:szCs w:val="28"/>
        </w:rPr>
        <w:t xml:space="preserve">. </w:t>
      </w:r>
    </w:p>
    <w:p w14:paraId="281B080E" w14:textId="77777777" w:rsidR="00293F62" w:rsidRPr="009548E1" w:rsidRDefault="00293F62" w:rsidP="00293F62">
      <w:pPr>
        <w:keepNext/>
        <w:spacing w:after="240"/>
        <w:jc w:val="center"/>
        <w:rPr>
          <w:bCs/>
          <w:sz w:val="28"/>
          <w:szCs w:val="28"/>
        </w:rPr>
      </w:pPr>
      <w:r w:rsidRPr="009548E1">
        <w:rPr>
          <w:bCs/>
          <w:sz w:val="28"/>
          <w:szCs w:val="28"/>
        </w:rPr>
        <w:t>Šifra 2613 Obveze za zajmove od međunarodnih organizacija</w:t>
      </w:r>
    </w:p>
    <w:p w14:paraId="3010C187" w14:textId="77777777" w:rsidR="00293F62" w:rsidRPr="009548E1" w:rsidRDefault="00293F62" w:rsidP="00293F62">
      <w:pPr>
        <w:jc w:val="both"/>
        <w:rPr>
          <w:bCs/>
          <w:szCs w:val="28"/>
        </w:rPr>
      </w:pPr>
      <w:r w:rsidRPr="009548E1">
        <w:rPr>
          <w:bCs/>
          <w:szCs w:val="28"/>
        </w:rPr>
        <w:t>Iznos od 1.245.784.499,13 eura na dan 31. prosinca 2023. godine odnosi se na obveze za zajmove od međunarodnih organizacija. Analitički prikaz o</w:t>
      </w:r>
      <w:r>
        <w:rPr>
          <w:bCs/>
          <w:szCs w:val="28"/>
        </w:rPr>
        <w:t>vih zajmova daje se u Tablici 13</w:t>
      </w:r>
      <w:r w:rsidRPr="009548E1">
        <w:rPr>
          <w:bCs/>
          <w:szCs w:val="28"/>
        </w:rPr>
        <w:t>.</w:t>
      </w:r>
    </w:p>
    <w:p w14:paraId="0DDD139D" w14:textId="77777777" w:rsidR="00293F62" w:rsidRPr="009548E1" w:rsidRDefault="00293F62" w:rsidP="00293F62">
      <w:pPr>
        <w:jc w:val="both"/>
        <w:rPr>
          <w:bCs/>
          <w:szCs w:val="28"/>
        </w:rPr>
      </w:pPr>
    </w:p>
    <w:p w14:paraId="75463105" w14:textId="77777777" w:rsidR="00293F62" w:rsidRPr="009548E1" w:rsidRDefault="00293F62" w:rsidP="00293F62">
      <w:pPr>
        <w:keepNext/>
        <w:jc w:val="both"/>
        <w:rPr>
          <w:b/>
          <w:sz w:val="20"/>
          <w:szCs w:val="20"/>
        </w:rPr>
      </w:pPr>
      <w:r>
        <w:rPr>
          <w:b/>
          <w:sz w:val="20"/>
          <w:szCs w:val="20"/>
        </w:rPr>
        <w:t>Tablica 13</w:t>
      </w:r>
      <w:r w:rsidRPr="009548E1">
        <w:rPr>
          <w:b/>
          <w:sz w:val="20"/>
          <w:szCs w:val="20"/>
        </w:rPr>
        <w:t>.</w:t>
      </w:r>
      <w:r>
        <w:rPr>
          <w:b/>
          <w:sz w:val="20"/>
          <w:szCs w:val="20"/>
        </w:rPr>
        <w:t xml:space="preserve"> Prikaz obveza za zajmove od međunarodnih organizacija</w:t>
      </w:r>
    </w:p>
    <w:tbl>
      <w:tblPr>
        <w:tblW w:w="9351" w:type="dxa"/>
        <w:jc w:val="right"/>
        <w:tblLook w:val="04A0" w:firstRow="1" w:lastRow="0" w:firstColumn="1" w:lastColumn="0" w:noHBand="0" w:noVBand="1"/>
      </w:tblPr>
      <w:tblGrid>
        <w:gridCol w:w="996"/>
        <w:gridCol w:w="4678"/>
        <w:gridCol w:w="884"/>
        <w:gridCol w:w="910"/>
        <w:gridCol w:w="1883"/>
      </w:tblGrid>
      <w:tr w:rsidR="00293F62" w:rsidRPr="009548E1" w14:paraId="745DF561" w14:textId="77777777" w:rsidTr="005C7D38">
        <w:trPr>
          <w:trHeight w:val="945"/>
          <w:jc w:val="right"/>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3757E" w14:textId="77777777" w:rsidR="00293F62" w:rsidRPr="009548E1" w:rsidRDefault="00293F62" w:rsidP="005C7D38">
            <w:pPr>
              <w:jc w:val="center"/>
              <w:rPr>
                <w:b/>
                <w:bCs/>
                <w:sz w:val="20"/>
                <w:szCs w:val="20"/>
              </w:rPr>
            </w:pPr>
            <w:r w:rsidRPr="009548E1">
              <w:rPr>
                <w:b/>
                <w:bCs/>
                <w:sz w:val="20"/>
                <w:szCs w:val="20"/>
              </w:rPr>
              <w:t>Red. broj</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6B4F332B" w14:textId="77777777" w:rsidR="00293F62" w:rsidRPr="009548E1" w:rsidRDefault="00293F62" w:rsidP="005C7D38">
            <w:pPr>
              <w:jc w:val="center"/>
              <w:rPr>
                <w:b/>
                <w:bCs/>
                <w:sz w:val="20"/>
                <w:szCs w:val="20"/>
              </w:rPr>
            </w:pPr>
            <w:r w:rsidRPr="009548E1">
              <w:rPr>
                <w:b/>
                <w:bCs/>
                <w:sz w:val="20"/>
                <w:szCs w:val="20"/>
              </w:rPr>
              <w:t>Namjena</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14:paraId="586AF500" w14:textId="77777777" w:rsidR="00293F62" w:rsidRPr="009548E1" w:rsidRDefault="00293F62" w:rsidP="005C7D38">
            <w:pPr>
              <w:jc w:val="center"/>
              <w:rPr>
                <w:b/>
                <w:bCs/>
                <w:sz w:val="20"/>
                <w:szCs w:val="20"/>
              </w:rPr>
            </w:pPr>
            <w:r w:rsidRPr="009548E1">
              <w:rPr>
                <w:b/>
                <w:bCs/>
                <w:sz w:val="20"/>
                <w:szCs w:val="20"/>
              </w:rPr>
              <w:t>Banka</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1A45EEEC" w14:textId="77777777" w:rsidR="00293F62" w:rsidRPr="009548E1" w:rsidRDefault="00293F62" w:rsidP="005C7D38">
            <w:pPr>
              <w:jc w:val="center"/>
              <w:rPr>
                <w:b/>
                <w:bCs/>
                <w:sz w:val="20"/>
                <w:szCs w:val="20"/>
              </w:rPr>
            </w:pPr>
            <w:r w:rsidRPr="009548E1">
              <w:rPr>
                <w:b/>
                <w:bCs/>
                <w:sz w:val="20"/>
                <w:szCs w:val="20"/>
              </w:rPr>
              <w:t>Valuta</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07EB991F" w14:textId="77777777" w:rsidR="00293F62" w:rsidRPr="009548E1" w:rsidRDefault="00293F62" w:rsidP="005C7D38">
            <w:pPr>
              <w:jc w:val="center"/>
              <w:rPr>
                <w:b/>
                <w:bCs/>
                <w:sz w:val="20"/>
                <w:szCs w:val="20"/>
              </w:rPr>
            </w:pPr>
            <w:r w:rsidRPr="009548E1">
              <w:rPr>
                <w:b/>
                <w:bCs/>
                <w:sz w:val="20"/>
                <w:szCs w:val="20"/>
              </w:rPr>
              <w:t xml:space="preserve">Stanje obveza na 31.12.2023.              </w:t>
            </w:r>
          </w:p>
        </w:tc>
      </w:tr>
      <w:tr w:rsidR="00293F62" w:rsidRPr="009548E1" w14:paraId="039E5F76" w14:textId="77777777" w:rsidTr="005C7D38">
        <w:trPr>
          <w:trHeight w:val="30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39B7024" w14:textId="77777777" w:rsidR="00293F62" w:rsidRPr="009548E1" w:rsidRDefault="00293F62" w:rsidP="005C7D38">
            <w:pPr>
              <w:jc w:val="center"/>
              <w:rPr>
                <w:sz w:val="18"/>
                <w:szCs w:val="18"/>
              </w:rPr>
            </w:pPr>
            <w:r w:rsidRPr="009548E1">
              <w:rPr>
                <w:sz w:val="18"/>
                <w:szCs w:val="18"/>
              </w:rPr>
              <w:t>1.</w:t>
            </w:r>
          </w:p>
        </w:tc>
        <w:tc>
          <w:tcPr>
            <w:tcW w:w="4678" w:type="dxa"/>
            <w:tcBorders>
              <w:top w:val="nil"/>
              <w:left w:val="nil"/>
              <w:bottom w:val="single" w:sz="4" w:space="0" w:color="auto"/>
              <w:right w:val="single" w:sz="4" w:space="0" w:color="auto"/>
            </w:tcBorders>
            <w:shd w:val="clear" w:color="auto" w:fill="auto"/>
            <w:noWrap/>
            <w:vAlign w:val="center"/>
            <w:hideMark/>
          </w:tcPr>
          <w:p w14:paraId="0D29F01F" w14:textId="77777777" w:rsidR="00293F62" w:rsidRPr="009548E1" w:rsidRDefault="00293F62" w:rsidP="005C7D38">
            <w:pPr>
              <w:rPr>
                <w:color w:val="000000"/>
                <w:sz w:val="18"/>
                <w:szCs w:val="18"/>
              </w:rPr>
            </w:pPr>
            <w:r w:rsidRPr="009548E1">
              <w:rPr>
                <w:color w:val="000000"/>
                <w:sz w:val="18"/>
                <w:szCs w:val="18"/>
              </w:rPr>
              <w:t>F/P 01351-003-001 - Projekt obnove zdravstvene infrastrukture</w:t>
            </w:r>
          </w:p>
        </w:tc>
        <w:tc>
          <w:tcPr>
            <w:tcW w:w="884" w:type="dxa"/>
            <w:tcBorders>
              <w:top w:val="nil"/>
              <w:left w:val="nil"/>
              <w:bottom w:val="single" w:sz="4" w:space="0" w:color="auto"/>
              <w:right w:val="single" w:sz="4" w:space="0" w:color="auto"/>
            </w:tcBorders>
            <w:shd w:val="clear" w:color="auto" w:fill="auto"/>
            <w:noWrap/>
            <w:vAlign w:val="center"/>
            <w:hideMark/>
          </w:tcPr>
          <w:p w14:paraId="1CED7CFA"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5DE040A2"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7F1C816E" w14:textId="77777777" w:rsidR="00293F62" w:rsidRPr="009548E1" w:rsidRDefault="00293F62" w:rsidP="005C7D38">
            <w:pPr>
              <w:jc w:val="right"/>
              <w:rPr>
                <w:color w:val="000000"/>
                <w:sz w:val="18"/>
                <w:szCs w:val="18"/>
              </w:rPr>
            </w:pPr>
            <w:r w:rsidRPr="009548E1">
              <w:rPr>
                <w:color w:val="000000"/>
                <w:sz w:val="18"/>
                <w:szCs w:val="18"/>
              </w:rPr>
              <w:t>650.000,00</w:t>
            </w:r>
          </w:p>
        </w:tc>
      </w:tr>
      <w:tr w:rsidR="00293F62" w:rsidRPr="009548E1" w14:paraId="2B5BCDA3" w14:textId="77777777" w:rsidTr="005C7D38">
        <w:trPr>
          <w:trHeight w:val="30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DC0E724" w14:textId="77777777" w:rsidR="00293F62" w:rsidRPr="009548E1" w:rsidRDefault="00293F62" w:rsidP="005C7D38">
            <w:pPr>
              <w:jc w:val="center"/>
              <w:rPr>
                <w:sz w:val="18"/>
                <w:szCs w:val="18"/>
              </w:rPr>
            </w:pPr>
            <w:r w:rsidRPr="009548E1">
              <w:rPr>
                <w:sz w:val="18"/>
                <w:szCs w:val="18"/>
              </w:rPr>
              <w:t>2.</w:t>
            </w:r>
          </w:p>
        </w:tc>
        <w:tc>
          <w:tcPr>
            <w:tcW w:w="4678" w:type="dxa"/>
            <w:tcBorders>
              <w:top w:val="nil"/>
              <w:left w:val="nil"/>
              <w:bottom w:val="single" w:sz="4" w:space="0" w:color="auto"/>
              <w:right w:val="single" w:sz="4" w:space="0" w:color="auto"/>
            </w:tcBorders>
            <w:shd w:val="clear" w:color="auto" w:fill="auto"/>
            <w:noWrap/>
            <w:vAlign w:val="center"/>
            <w:hideMark/>
          </w:tcPr>
          <w:p w14:paraId="1C702F8A" w14:textId="77777777" w:rsidR="00293F62" w:rsidRPr="009548E1" w:rsidRDefault="00293F62" w:rsidP="005C7D38">
            <w:pPr>
              <w:rPr>
                <w:color w:val="000000"/>
                <w:sz w:val="18"/>
                <w:szCs w:val="18"/>
              </w:rPr>
            </w:pPr>
            <w:r w:rsidRPr="009548E1">
              <w:rPr>
                <w:color w:val="000000"/>
                <w:sz w:val="18"/>
                <w:szCs w:val="18"/>
              </w:rPr>
              <w:t>F/P 01456-004-001 - Projekt obnove i izgradnje školskih objekata u RH</w:t>
            </w:r>
          </w:p>
        </w:tc>
        <w:tc>
          <w:tcPr>
            <w:tcW w:w="884" w:type="dxa"/>
            <w:tcBorders>
              <w:top w:val="nil"/>
              <w:left w:val="nil"/>
              <w:bottom w:val="single" w:sz="4" w:space="0" w:color="auto"/>
              <w:right w:val="single" w:sz="4" w:space="0" w:color="auto"/>
            </w:tcBorders>
            <w:shd w:val="clear" w:color="auto" w:fill="auto"/>
            <w:noWrap/>
            <w:vAlign w:val="center"/>
            <w:hideMark/>
          </w:tcPr>
          <w:p w14:paraId="16DC847F"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24D3BAEE"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69B6F82D" w14:textId="77777777" w:rsidR="00293F62" w:rsidRPr="009548E1" w:rsidRDefault="00293F62" w:rsidP="005C7D38">
            <w:pPr>
              <w:jc w:val="right"/>
              <w:rPr>
                <w:color w:val="000000"/>
                <w:sz w:val="18"/>
                <w:szCs w:val="18"/>
              </w:rPr>
            </w:pPr>
            <w:r w:rsidRPr="009548E1">
              <w:rPr>
                <w:color w:val="000000"/>
                <w:sz w:val="18"/>
                <w:szCs w:val="18"/>
              </w:rPr>
              <w:t>1.007.120,00</w:t>
            </w:r>
          </w:p>
        </w:tc>
      </w:tr>
      <w:tr w:rsidR="00293F62" w:rsidRPr="009548E1" w14:paraId="2951DA0B" w14:textId="77777777" w:rsidTr="005C7D38">
        <w:trPr>
          <w:trHeight w:val="48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BECA048" w14:textId="77777777" w:rsidR="00293F62" w:rsidRPr="009548E1" w:rsidRDefault="00293F62" w:rsidP="005C7D38">
            <w:pPr>
              <w:jc w:val="center"/>
              <w:rPr>
                <w:sz w:val="18"/>
                <w:szCs w:val="18"/>
              </w:rPr>
            </w:pPr>
            <w:r w:rsidRPr="009548E1">
              <w:rPr>
                <w:sz w:val="18"/>
                <w:szCs w:val="18"/>
              </w:rPr>
              <w:t>3.</w:t>
            </w:r>
          </w:p>
        </w:tc>
        <w:tc>
          <w:tcPr>
            <w:tcW w:w="4678" w:type="dxa"/>
            <w:tcBorders>
              <w:top w:val="nil"/>
              <w:left w:val="nil"/>
              <w:bottom w:val="single" w:sz="4" w:space="0" w:color="auto"/>
              <w:right w:val="single" w:sz="4" w:space="0" w:color="auto"/>
            </w:tcBorders>
            <w:shd w:val="clear" w:color="auto" w:fill="auto"/>
            <w:vAlign w:val="center"/>
            <w:hideMark/>
          </w:tcPr>
          <w:p w14:paraId="3FCDE198" w14:textId="77777777" w:rsidR="00293F62" w:rsidRPr="009548E1" w:rsidRDefault="00293F62" w:rsidP="005C7D38">
            <w:pPr>
              <w:rPr>
                <w:color w:val="000000"/>
                <w:sz w:val="18"/>
                <w:szCs w:val="18"/>
              </w:rPr>
            </w:pPr>
            <w:r w:rsidRPr="009548E1">
              <w:rPr>
                <w:color w:val="000000"/>
                <w:sz w:val="18"/>
                <w:szCs w:val="18"/>
              </w:rPr>
              <w:t>F/P 01498-004-002 - Projekt izgradnje objekata komunalne i društvene infrastrukture na hrv. otocima</w:t>
            </w:r>
          </w:p>
        </w:tc>
        <w:tc>
          <w:tcPr>
            <w:tcW w:w="884" w:type="dxa"/>
            <w:tcBorders>
              <w:top w:val="nil"/>
              <w:left w:val="nil"/>
              <w:bottom w:val="single" w:sz="4" w:space="0" w:color="auto"/>
              <w:right w:val="single" w:sz="4" w:space="0" w:color="auto"/>
            </w:tcBorders>
            <w:shd w:val="clear" w:color="auto" w:fill="auto"/>
            <w:noWrap/>
            <w:vAlign w:val="center"/>
            <w:hideMark/>
          </w:tcPr>
          <w:p w14:paraId="58544C60"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3502D5A5"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48CADB74" w14:textId="77777777" w:rsidR="00293F62" w:rsidRPr="009548E1" w:rsidRDefault="00293F62" w:rsidP="005C7D38">
            <w:pPr>
              <w:jc w:val="right"/>
              <w:rPr>
                <w:color w:val="000000"/>
                <w:sz w:val="18"/>
                <w:szCs w:val="18"/>
              </w:rPr>
            </w:pPr>
            <w:r w:rsidRPr="009548E1">
              <w:rPr>
                <w:color w:val="000000"/>
                <w:sz w:val="18"/>
                <w:szCs w:val="18"/>
              </w:rPr>
              <w:t>1.543.200,00</w:t>
            </w:r>
          </w:p>
        </w:tc>
      </w:tr>
      <w:tr w:rsidR="00293F62" w:rsidRPr="009548E1" w14:paraId="456DA9CE" w14:textId="77777777" w:rsidTr="005C7D38">
        <w:trPr>
          <w:trHeight w:val="48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42696DC" w14:textId="77777777" w:rsidR="00293F62" w:rsidRPr="009548E1" w:rsidRDefault="00293F62" w:rsidP="005C7D38">
            <w:pPr>
              <w:jc w:val="center"/>
              <w:rPr>
                <w:sz w:val="18"/>
                <w:szCs w:val="18"/>
              </w:rPr>
            </w:pPr>
            <w:r w:rsidRPr="009548E1">
              <w:rPr>
                <w:sz w:val="18"/>
                <w:szCs w:val="18"/>
              </w:rPr>
              <w:t>4.</w:t>
            </w:r>
          </w:p>
        </w:tc>
        <w:tc>
          <w:tcPr>
            <w:tcW w:w="4678" w:type="dxa"/>
            <w:tcBorders>
              <w:top w:val="nil"/>
              <w:left w:val="nil"/>
              <w:bottom w:val="single" w:sz="4" w:space="0" w:color="auto"/>
              <w:right w:val="single" w:sz="4" w:space="0" w:color="auto"/>
            </w:tcBorders>
            <w:shd w:val="clear" w:color="auto" w:fill="auto"/>
            <w:vAlign w:val="center"/>
            <w:hideMark/>
          </w:tcPr>
          <w:p w14:paraId="17765EF9" w14:textId="77777777" w:rsidR="00293F62" w:rsidRPr="009548E1" w:rsidRDefault="00293F62" w:rsidP="005C7D38">
            <w:pPr>
              <w:rPr>
                <w:color w:val="000000"/>
                <w:sz w:val="18"/>
                <w:szCs w:val="18"/>
              </w:rPr>
            </w:pPr>
            <w:r w:rsidRPr="009548E1">
              <w:rPr>
                <w:color w:val="000000"/>
                <w:sz w:val="18"/>
                <w:szCs w:val="18"/>
              </w:rPr>
              <w:t>F/P 01498-005-002 - Projekt izgradnje objekata komunalne i društvene infrastrukture na hrv. otocima</w:t>
            </w:r>
          </w:p>
        </w:tc>
        <w:tc>
          <w:tcPr>
            <w:tcW w:w="884" w:type="dxa"/>
            <w:tcBorders>
              <w:top w:val="nil"/>
              <w:left w:val="nil"/>
              <w:bottom w:val="single" w:sz="4" w:space="0" w:color="auto"/>
              <w:right w:val="single" w:sz="4" w:space="0" w:color="auto"/>
            </w:tcBorders>
            <w:shd w:val="clear" w:color="auto" w:fill="auto"/>
            <w:noWrap/>
            <w:vAlign w:val="center"/>
            <w:hideMark/>
          </w:tcPr>
          <w:p w14:paraId="33264342"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5DEF1BC8"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3909BB92" w14:textId="77777777" w:rsidR="00293F62" w:rsidRPr="009548E1" w:rsidRDefault="00293F62" w:rsidP="005C7D38">
            <w:pPr>
              <w:jc w:val="right"/>
              <w:rPr>
                <w:color w:val="000000"/>
                <w:sz w:val="18"/>
                <w:szCs w:val="18"/>
              </w:rPr>
            </w:pPr>
            <w:r w:rsidRPr="009548E1">
              <w:rPr>
                <w:color w:val="000000"/>
                <w:sz w:val="18"/>
                <w:szCs w:val="18"/>
              </w:rPr>
              <w:t>539.200,00</w:t>
            </w:r>
          </w:p>
        </w:tc>
      </w:tr>
      <w:tr w:rsidR="00293F62" w:rsidRPr="009548E1" w14:paraId="20656ECF" w14:textId="77777777" w:rsidTr="005C7D38">
        <w:trPr>
          <w:trHeight w:val="51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B180E8B" w14:textId="77777777" w:rsidR="00293F62" w:rsidRPr="009548E1" w:rsidRDefault="00293F62" w:rsidP="005C7D38">
            <w:pPr>
              <w:jc w:val="center"/>
              <w:rPr>
                <w:sz w:val="18"/>
                <w:szCs w:val="18"/>
              </w:rPr>
            </w:pPr>
            <w:r w:rsidRPr="009548E1">
              <w:rPr>
                <w:sz w:val="18"/>
                <w:szCs w:val="18"/>
              </w:rPr>
              <w:t>5.</w:t>
            </w:r>
          </w:p>
        </w:tc>
        <w:tc>
          <w:tcPr>
            <w:tcW w:w="4678" w:type="dxa"/>
            <w:tcBorders>
              <w:top w:val="nil"/>
              <w:left w:val="nil"/>
              <w:bottom w:val="single" w:sz="4" w:space="0" w:color="auto"/>
              <w:right w:val="single" w:sz="4" w:space="0" w:color="auto"/>
            </w:tcBorders>
            <w:shd w:val="clear" w:color="auto" w:fill="auto"/>
            <w:vAlign w:val="center"/>
            <w:hideMark/>
          </w:tcPr>
          <w:p w14:paraId="04F2A1A6" w14:textId="77777777" w:rsidR="00293F62" w:rsidRPr="009548E1" w:rsidRDefault="00293F62" w:rsidP="005C7D38">
            <w:pPr>
              <w:rPr>
                <w:color w:val="000000"/>
                <w:sz w:val="18"/>
                <w:szCs w:val="18"/>
              </w:rPr>
            </w:pPr>
            <w:r w:rsidRPr="009548E1">
              <w:rPr>
                <w:color w:val="000000"/>
                <w:sz w:val="18"/>
                <w:szCs w:val="18"/>
              </w:rPr>
              <w:t>F/P 01498-006-002 - Projekt izgradnje objekata komunalne i društvene infrastrukture na hrv. otocima</w:t>
            </w:r>
          </w:p>
        </w:tc>
        <w:tc>
          <w:tcPr>
            <w:tcW w:w="884" w:type="dxa"/>
            <w:tcBorders>
              <w:top w:val="nil"/>
              <w:left w:val="nil"/>
              <w:bottom w:val="single" w:sz="4" w:space="0" w:color="auto"/>
              <w:right w:val="single" w:sz="4" w:space="0" w:color="auto"/>
            </w:tcBorders>
            <w:shd w:val="clear" w:color="auto" w:fill="auto"/>
            <w:noWrap/>
            <w:vAlign w:val="center"/>
            <w:hideMark/>
          </w:tcPr>
          <w:p w14:paraId="6B3004CA"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2C34AF06"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7C2B338C" w14:textId="77777777" w:rsidR="00293F62" w:rsidRPr="009548E1" w:rsidRDefault="00293F62" w:rsidP="005C7D38">
            <w:pPr>
              <w:jc w:val="right"/>
              <w:rPr>
                <w:color w:val="000000"/>
                <w:sz w:val="18"/>
                <w:szCs w:val="18"/>
              </w:rPr>
            </w:pPr>
            <w:r w:rsidRPr="009548E1">
              <w:rPr>
                <w:color w:val="000000"/>
                <w:sz w:val="18"/>
                <w:szCs w:val="18"/>
              </w:rPr>
              <w:t>460.957,60</w:t>
            </w:r>
          </w:p>
        </w:tc>
      </w:tr>
      <w:tr w:rsidR="00293F62" w:rsidRPr="009548E1" w14:paraId="2949FA55" w14:textId="77777777" w:rsidTr="005C7D38">
        <w:trPr>
          <w:trHeight w:val="51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E58B2DE" w14:textId="77777777" w:rsidR="00293F62" w:rsidRPr="009548E1" w:rsidRDefault="00293F62" w:rsidP="005C7D38">
            <w:pPr>
              <w:jc w:val="center"/>
              <w:rPr>
                <w:sz w:val="18"/>
                <w:szCs w:val="18"/>
              </w:rPr>
            </w:pPr>
            <w:r w:rsidRPr="009548E1">
              <w:rPr>
                <w:sz w:val="18"/>
                <w:szCs w:val="18"/>
              </w:rPr>
              <w:t>6.</w:t>
            </w:r>
          </w:p>
        </w:tc>
        <w:tc>
          <w:tcPr>
            <w:tcW w:w="4678" w:type="dxa"/>
            <w:tcBorders>
              <w:top w:val="nil"/>
              <w:left w:val="nil"/>
              <w:bottom w:val="single" w:sz="4" w:space="0" w:color="auto"/>
              <w:right w:val="single" w:sz="4" w:space="0" w:color="auto"/>
            </w:tcBorders>
            <w:shd w:val="clear" w:color="auto" w:fill="auto"/>
            <w:vAlign w:val="center"/>
            <w:hideMark/>
          </w:tcPr>
          <w:p w14:paraId="5BD2ED47" w14:textId="77777777" w:rsidR="00293F62" w:rsidRPr="009548E1" w:rsidRDefault="00293F62" w:rsidP="005C7D38">
            <w:pPr>
              <w:rPr>
                <w:color w:val="000000"/>
                <w:sz w:val="18"/>
                <w:szCs w:val="18"/>
              </w:rPr>
            </w:pPr>
            <w:r w:rsidRPr="009548E1">
              <w:rPr>
                <w:color w:val="000000"/>
                <w:sz w:val="18"/>
                <w:szCs w:val="18"/>
              </w:rPr>
              <w:t>F/P 01498-007-002 - Projekt izgradnje objekata komunalne i društvene infrastrukture na hrv. otocima</w:t>
            </w:r>
          </w:p>
        </w:tc>
        <w:tc>
          <w:tcPr>
            <w:tcW w:w="884" w:type="dxa"/>
            <w:tcBorders>
              <w:top w:val="nil"/>
              <w:left w:val="nil"/>
              <w:bottom w:val="single" w:sz="4" w:space="0" w:color="auto"/>
              <w:right w:val="single" w:sz="4" w:space="0" w:color="auto"/>
            </w:tcBorders>
            <w:shd w:val="clear" w:color="auto" w:fill="auto"/>
            <w:noWrap/>
            <w:vAlign w:val="center"/>
            <w:hideMark/>
          </w:tcPr>
          <w:p w14:paraId="45E595BC"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13AE1814"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18DE7562" w14:textId="77777777" w:rsidR="00293F62" w:rsidRPr="009548E1" w:rsidRDefault="00293F62" w:rsidP="005C7D38">
            <w:pPr>
              <w:jc w:val="right"/>
              <w:rPr>
                <w:color w:val="000000"/>
                <w:sz w:val="18"/>
                <w:szCs w:val="18"/>
              </w:rPr>
            </w:pPr>
            <w:r w:rsidRPr="009548E1">
              <w:rPr>
                <w:color w:val="000000"/>
                <w:sz w:val="18"/>
                <w:szCs w:val="18"/>
              </w:rPr>
              <w:t>1.188.436,80</w:t>
            </w:r>
          </w:p>
        </w:tc>
      </w:tr>
      <w:tr w:rsidR="00293F62" w:rsidRPr="009548E1" w14:paraId="76D17C12" w14:textId="77777777" w:rsidTr="005C7D38">
        <w:trPr>
          <w:trHeight w:val="51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6155E88" w14:textId="77777777" w:rsidR="00293F62" w:rsidRPr="009548E1" w:rsidRDefault="00293F62" w:rsidP="005C7D38">
            <w:pPr>
              <w:jc w:val="center"/>
              <w:rPr>
                <w:sz w:val="18"/>
                <w:szCs w:val="18"/>
              </w:rPr>
            </w:pPr>
            <w:r w:rsidRPr="009548E1">
              <w:rPr>
                <w:sz w:val="18"/>
                <w:szCs w:val="18"/>
              </w:rPr>
              <w:t>7.</w:t>
            </w:r>
          </w:p>
        </w:tc>
        <w:tc>
          <w:tcPr>
            <w:tcW w:w="4678" w:type="dxa"/>
            <w:tcBorders>
              <w:top w:val="nil"/>
              <w:left w:val="nil"/>
              <w:bottom w:val="single" w:sz="4" w:space="0" w:color="auto"/>
              <w:right w:val="single" w:sz="4" w:space="0" w:color="auto"/>
            </w:tcBorders>
            <w:shd w:val="clear" w:color="auto" w:fill="auto"/>
            <w:vAlign w:val="center"/>
            <w:hideMark/>
          </w:tcPr>
          <w:p w14:paraId="4CD83E1A" w14:textId="77777777" w:rsidR="00293F62" w:rsidRPr="009548E1" w:rsidRDefault="00293F62" w:rsidP="005C7D38">
            <w:pPr>
              <w:rPr>
                <w:color w:val="000000"/>
                <w:sz w:val="18"/>
                <w:szCs w:val="18"/>
              </w:rPr>
            </w:pPr>
            <w:r w:rsidRPr="009548E1">
              <w:rPr>
                <w:color w:val="000000"/>
                <w:sz w:val="18"/>
                <w:szCs w:val="18"/>
              </w:rPr>
              <w:t>F/P 01511-002-002 - Projekt "Istraživanje, obnova i revitalizacija kulturne baštine Ilok - Vukovar - Vučedol"</w:t>
            </w:r>
          </w:p>
        </w:tc>
        <w:tc>
          <w:tcPr>
            <w:tcW w:w="884" w:type="dxa"/>
            <w:tcBorders>
              <w:top w:val="nil"/>
              <w:left w:val="nil"/>
              <w:bottom w:val="single" w:sz="4" w:space="0" w:color="auto"/>
              <w:right w:val="single" w:sz="4" w:space="0" w:color="auto"/>
            </w:tcBorders>
            <w:shd w:val="clear" w:color="auto" w:fill="auto"/>
            <w:noWrap/>
            <w:vAlign w:val="center"/>
            <w:hideMark/>
          </w:tcPr>
          <w:p w14:paraId="1ED35C37"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2D856B9E"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727E6ABB" w14:textId="77777777" w:rsidR="00293F62" w:rsidRPr="009548E1" w:rsidRDefault="00293F62" w:rsidP="005C7D38">
            <w:pPr>
              <w:jc w:val="right"/>
              <w:rPr>
                <w:color w:val="000000"/>
                <w:sz w:val="18"/>
                <w:szCs w:val="18"/>
              </w:rPr>
            </w:pPr>
            <w:r w:rsidRPr="009548E1">
              <w:rPr>
                <w:color w:val="000000"/>
                <w:sz w:val="18"/>
                <w:szCs w:val="18"/>
              </w:rPr>
              <w:t>349.000,00</w:t>
            </w:r>
          </w:p>
        </w:tc>
      </w:tr>
      <w:tr w:rsidR="00293F62" w:rsidRPr="009548E1" w14:paraId="527827D9" w14:textId="77777777" w:rsidTr="005C7D38">
        <w:trPr>
          <w:trHeight w:val="51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D91AD5B" w14:textId="77777777" w:rsidR="00293F62" w:rsidRPr="009548E1" w:rsidRDefault="00293F62" w:rsidP="005C7D38">
            <w:pPr>
              <w:jc w:val="center"/>
              <w:rPr>
                <w:sz w:val="18"/>
                <w:szCs w:val="18"/>
              </w:rPr>
            </w:pPr>
            <w:r w:rsidRPr="009548E1">
              <w:rPr>
                <w:sz w:val="18"/>
                <w:szCs w:val="18"/>
              </w:rPr>
              <w:t>8.</w:t>
            </w:r>
          </w:p>
        </w:tc>
        <w:tc>
          <w:tcPr>
            <w:tcW w:w="4678" w:type="dxa"/>
            <w:tcBorders>
              <w:top w:val="nil"/>
              <w:left w:val="nil"/>
              <w:bottom w:val="single" w:sz="4" w:space="0" w:color="auto"/>
              <w:right w:val="single" w:sz="4" w:space="0" w:color="auto"/>
            </w:tcBorders>
            <w:shd w:val="clear" w:color="auto" w:fill="auto"/>
            <w:vAlign w:val="center"/>
            <w:hideMark/>
          </w:tcPr>
          <w:p w14:paraId="38B46EC6" w14:textId="77777777" w:rsidR="00293F62" w:rsidRPr="009548E1" w:rsidRDefault="00293F62" w:rsidP="005C7D38">
            <w:pPr>
              <w:rPr>
                <w:color w:val="000000"/>
                <w:sz w:val="18"/>
                <w:szCs w:val="18"/>
              </w:rPr>
            </w:pPr>
            <w:r w:rsidRPr="009548E1">
              <w:rPr>
                <w:color w:val="000000"/>
                <w:sz w:val="18"/>
                <w:szCs w:val="18"/>
              </w:rPr>
              <w:t>F/P 01511-003-002 - Projekt "Istraživanje, obnova i revitalizacija kulturne baštine Ilok - Vukovar - Vučedol"</w:t>
            </w:r>
          </w:p>
        </w:tc>
        <w:tc>
          <w:tcPr>
            <w:tcW w:w="884" w:type="dxa"/>
            <w:tcBorders>
              <w:top w:val="nil"/>
              <w:left w:val="nil"/>
              <w:bottom w:val="single" w:sz="4" w:space="0" w:color="auto"/>
              <w:right w:val="single" w:sz="4" w:space="0" w:color="auto"/>
            </w:tcBorders>
            <w:shd w:val="clear" w:color="auto" w:fill="auto"/>
            <w:noWrap/>
            <w:vAlign w:val="center"/>
            <w:hideMark/>
          </w:tcPr>
          <w:p w14:paraId="7D0A7F49"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16C2202A"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30589C7D" w14:textId="77777777" w:rsidR="00293F62" w:rsidRPr="009548E1" w:rsidRDefault="00293F62" w:rsidP="005C7D38">
            <w:pPr>
              <w:jc w:val="right"/>
              <w:rPr>
                <w:color w:val="000000"/>
                <w:sz w:val="18"/>
                <w:szCs w:val="18"/>
              </w:rPr>
            </w:pPr>
            <w:r w:rsidRPr="009548E1">
              <w:rPr>
                <w:color w:val="000000"/>
                <w:sz w:val="18"/>
                <w:szCs w:val="18"/>
              </w:rPr>
              <w:t>724.000,00</w:t>
            </w:r>
          </w:p>
        </w:tc>
      </w:tr>
      <w:tr w:rsidR="00293F62" w:rsidRPr="009548E1" w14:paraId="585AF322" w14:textId="77777777" w:rsidTr="005C7D38">
        <w:trPr>
          <w:trHeight w:val="51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69D91C3" w14:textId="77777777" w:rsidR="00293F62" w:rsidRPr="009548E1" w:rsidRDefault="00293F62" w:rsidP="005C7D38">
            <w:pPr>
              <w:jc w:val="center"/>
              <w:rPr>
                <w:sz w:val="18"/>
                <w:szCs w:val="18"/>
              </w:rPr>
            </w:pPr>
            <w:r w:rsidRPr="009548E1">
              <w:rPr>
                <w:sz w:val="18"/>
                <w:szCs w:val="18"/>
              </w:rPr>
              <w:t>9.</w:t>
            </w:r>
          </w:p>
        </w:tc>
        <w:tc>
          <w:tcPr>
            <w:tcW w:w="4678" w:type="dxa"/>
            <w:tcBorders>
              <w:top w:val="nil"/>
              <w:left w:val="nil"/>
              <w:bottom w:val="single" w:sz="4" w:space="0" w:color="auto"/>
              <w:right w:val="single" w:sz="4" w:space="0" w:color="auto"/>
            </w:tcBorders>
            <w:shd w:val="clear" w:color="auto" w:fill="auto"/>
            <w:vAlign w:val="center"/>
            <w:hideMark/>
          </w:tcPr>
          <w:p w14:paraId="45EDCF30" w14:textId="77777777" w:rsidR="00293F62" w:rsidRPr="009548E1" w:rsidRDefault="00293F62" w:rsidP="005C7D38">
            <w:pPr>
              <w:rPr>
                <w:color w:val="000000"/>
                <w:sz w:val="18"/>
                <w:szCs w:val="18"/>
              </w:rPr>
            </w:pPr>
            <w:r w:rsidRPr="009548E1">
              <w:rPr>
                <w:color w:val="000000"/>
                <w:sz w:val="18"/>
                <w:szCs w:val="18"/>
              </w:rPr>
              <w:t>F/P 01511-004-002 - Projekt "Istraživanje, obnova i revitalizacija kulturne baštine Ilok - Vukovar - Vučedol"</w:t>
            </w:r>
          </w:p>
        </w:tc>
        <w:tc>
          <w:tcPr>
            <w:tcW w:w="884" w:type="dxa"/>
            <w:tcBorders>
              <w:top w:val="nil"/>
              <w:left w:val="nil"/>
              <w:bottom w:val="single" w:sz="4" w:space="0" w:color="auto"/>
              <w:right w:val="single" w:sz="4" w:space="0" w:color="auto"/>
            </w:tcBorders>
            <w:shd w:val="clear" w:color="auto" w:fill="auto"/>
            <w:noWrap/>
            <w:vAlign w:val="center"/>
            <w:hideMark/>
          </w:tcPr>
          <w:p w14:paraId="4F324D1D"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57C521DB"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40B0C3F9" w14:textId="77777777" w:rsidR="00293F62" w:rsidRPr="009548E1" w:rsidRDefault="00293F62" w:rsidP="005C7D38">
            <w:pPr>
              <w:jc w:val="right"/>
              <w:rPr>
                <w:color w:val="000000"/>
                <w:sz w:val="18"/>
                <w:szCs w:val="18"/>
              </w:rPr>
            </w:pPr>
            <w:r w:rsidRPr="009548E1">
              <w:rPr>
                <w:color w:val="000000"/>
                <w:sz w:val="18"/>
                <w:szCs w:val="18"/>
              </w:rPr>
              <w:t>3.040.000,00</w:t>
            </w:r>
          </w:p>
        </w:tc>
      </w:tr>
      <w:tr w:rsidR="00293F62" w:rsidRPr="009548E1" w14:paraId="0A347585" w14:textId="77777777" w:rsidTr="005C7D38">
        <w:trPr>
          <w:trHeight w:val="51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42E4ABA" w14:textId="77777777" w:rsidR="00293F62" w:rsidRPr="009548E1" w:rsidRDefault="00293F62" w:rsidP="005C7D38">
            <w:pPr>
              <w:jc w:val="center"/>
              <w:rPr>
                <w:sz w:val="18"/>
                <w:szCs w:val="18"/>
              </w:rPr>
            </w:pPr>
            <w:r w:rsidRPr="009548E1">
              <w:rPr>
                <w:sz w:val="18"/>
                <w:szCs w:val="18"/>
              </w:rPr>
              <w:t>10.</w:t>
            </w:r>
          </w:p>
        </w:tc>
        <w:tc>
          <w:tcPr>
            <w:tcW w:w="4678" w:type="dxa"/>
            <w:tcBorders>
              <w:top w:val="nil"/>
              <w:left w:val="nil"/>
              <w:bottom w:val="single" w:sz="4" w:space="0" w:color="auto"/>
              <w:right w:val="single" w:sz="4" w:space="0" w:color="auto"/>
            </w:tcBorders>
            <w:shd w:val="clear" w:color="auto" w:fill="auto"/>
            <w:vAlign w:val="center"/>
            <w:hideMark/>
          </w:tcPr>
          <w:p w14:paraId="6EF58035" w14:textId="77777777" w:rsidR="00293F62" w:rsidRPr="009548E1" w:rsidRDefault="00293F62" w:rsidP="005C7D38">
            <w:pPr>
              <w:rPr>
                <w:sz w:val="18"/>
                <w:szCs w:val="18"/>
              </w:rPr>
            </w:pPr>
            <w:r w:rsidRPr="009548E1">
              <w:rPr>
                <w:sz w:val="18"/>
                <w:szCs w:val="18"/>
              </w:rPr>
              <w:t>F/P 01511-005-002 - Projekt "Istraživanje, obnova i revitalizacija kulturne baštine Ilok - Vukovar - Vučedol"</w:t>
            </w:r>
          </w:p>
        </w:tc>
        <w:tc>
          <w:tcPr>
            <w:tcW w:w="884" w:type="dxa"/>
            <w:tcBorders>
              <w:top w:val="nil"/>
              <w:left w:val="nil"/>
              <w:bottom w:val="single" w:sz="4" w:space="0" w:color="auto"/>
              <w:right w:val="single" w:sz="4" w:space="0" w:color="auto"/>
            </w:tcBorders>
            <w:shd w:val="clear" w:color="auto" w:fill="auto"/>
            <w:noWrap/>
            <w:vAlign w:val="center"/>
            <w:hideMark/>
          </w:tcPr>
          <w:p w14:paraId="5B446BC3"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6AE6F114"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38BB72EB" w14:textId="77777777" w:rsidR="00293F62" w:rsidRPr="009548E1" w:rsidRDefault="00293F62" w:rsidP="005C7D38">
            <w:pPr>
              <w:jc w:val="right"/>
              <w:rPr>
                <w:color w:val="000000"/>
                <w:sz w:val="18"/>
                <w:szCs w:val="18"/>
              </w:rPr>
            </w:pPr>
            <w:r w:rsidRPr="009548E1">
              <w:rPr>
                <w:color w:val="000000"/>
                <w:sz w:val="18"/>
                <w:szCs w:val="18"/>
              </w:rPr>
              <w:t>1.168.000,50</w:t>
            </w:r>
          </w:p>
        </w:tc>
      </w:tr>
      <w:tr w:rsidR="00293F62" w:rsidRPr="009548E1" w14:paraId="4FF3E4C8" w14:textId="77777777" w:rsidTr="005C7D38">
        <w:trPr>
          <w:trHeight w:val="30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98D221F" w14:textId="77777777" w:rsidR="00293F62" w:rsidRPr="009548E1" w:rsidRDefault="00293F62" w:rsidP="005C7D38">
            <w:pPr>
              <w:jc w:val="center"/>
              <w:rPr>
                <w:sz w:val="18"/>
                <w:szCs w:val="18"/>
              </w:rPr>
            </w:pPr>
            <w:r w:rsidRPr="009548E1">
              <w:rPr>
                <w:sz w:val="18"/>
                <w:szCs w:val="18"/>
              </w:rPr>
              <w:t>11.</w:t>
            </w:r>
          </w:p>
        </w:tc>
        <w:tc>
          <w:tcPr>
            <w:tcW w:w="4678" w:type="dxa"/>
            <w:tcBorders>
              <w:top w:val="nil"/>
              <w:left w:val="nil"/>
              <w:bottom w:val="single" w:sz="4" w:space="0" w:color="auto"/>
              <w:right w:val="single" w:sz="4" w:space="0" w:color="auto"/>
            </w:tcBorders>
            <w:shd w:val="clear" w:color="auto" w:fill="auto"/>
            <w:vAlign w:val="center"/>
            <w:hideMark/>
          </w:tcPr>
          <w:p w14:paraId="5662B895" w14:textId="77777777" w:rsidR="00293F62" w:rsidRPr="009548E1" w:rsidRDefault="00293F62" w:rsidP="005C7D38">
            <w:pPr>
              <w:rPr>
                <w:color w:val="000000"/>
                <w:sz w:val="18"/>
                <w:szCs w:val="18"/>
              </w:rPr>
            </w:pPr>
            <w:r w:rsidRPr="009548E1">
              <w:rPr>
                <w:color w:val="000000"/>
                <w:sz w:val="18"/>
                <w:szCs w:val="18"/>
              </w:rPr>
              <w:t>F/P 01576-002-002 - Projekt financiranja zdravstvenih ustanova u RH</w:t>
            </w:r>
          </w:p>
        </w:tc>
        <w:tc>
          <w:tcPr>
            <w:tcW w:w="884" w:type="dxa"/>
            <w:tcBorders>
              <w:top w:val="nil"/>
              <w:left w:val="nil"/>
              <w:bottom w:val="single" w:sz="4" w:space="0" w:color="auto"/>
              <w:right w:val="single" w:sz="4" w:space="0" w:color="auto"/>
            </w:tcBorders>
            <w:shd w:val="clear" w:color="auto" w:fill="auto"/>
            <w:noWrap/>
            <w:vAlign w:val="center"/>
            <w:hideMark/>
          </w:tcPr>
          <w:p w14:paraId="2450043F"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2CBFAFBE"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50C5D11B" w14:textId="77777777" w:rsidR="00293F62" w:rsidRPr="009548E1" w:rsidRDefault="00293F62" w:rsidP="005C7D38">
            <w:pPr>
              <w:jc w:val="right"/>
              <w:rPr>
                <w:color w:val="000000"/>
                <w:sz w:val="18"/>
                <w:szCs w:val="18"/>
              </w:rPr>
            </w:pPr>
            <w:r w:rsidRPr="009548E1">
              <w:rPr>
                <w:color w:val="000000"/>
                <w:sz w:val="18"/>
                <w:szCs w:val="18"/>
              </w:rPr>
              <w:t>1.880.000,00</w:t>
            </w:r>
          </w:p>
        </w:tc>
      </w:tr>
      <w:tr w:rsidR="00293F62" w:rsidRPr="009548E1" w14:paraId="27A51FD6" w14:textId="77777777" w:rsidTr="005C7D38">
        <w:trPr>
          <w:trHeight w:val="255"/>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A9C9CAE" w14:textId="77777777" w:rsidR="00293F62" w:rsidRPr="009548E1" w:rsidRDefault="00293F62" w:rsidP="005C7D38">
            <w:pPr>
              <w:jc w:val="center"/>
              <w:rPr>
                <w:sz w:val="18"/>
                <w:szCs w:val="18"/>
              </w:rPr>
            </w:pPr>
            <w:r w:rsidRPr="009548E1">
              <w:rPr>
                <w:sz w:val="18"/>
                <w:szCs w:val="18"/>
              </w:rPr>
              <w:t>12.</w:t>
            </w:r>
          </w:p>
        </w:tc>
        <w:tc>
          <w:tcPr>
            <w:tcW w:w="4678" w:type="dxa"/>
            <w:tcBorders>
              <w:top w:val="nil"/>
              <w:left w:val="nil"/>
              <w:bottom w:val="single" w:sz="4" w:space="0" w:color="auto"/>
              <w:right w:val="single" w:sz="4" w:space="0" w:color="auto"/>
            </w:tcBorders>
            <w:shd w:val="clear" w:color="auto" w:fill="auto"/>
            <w:vAlign w:val="center"/>
            <w:hideMark/>
          </w:tcPr>
          <w:p w14:paraId="453398C0" w14:textId="77777777" w:rsidR="00293F62" w:rsidRPr="009548E1" w:rsidRDefault="00293F62" w:rsidP="005C7D38">
            <w:pPr>
              <w:rPr>
                <w:sz w:val="18"/>
                <w:szCs w:val="18"/>
              </w:rPr>
            </w:pPr>
            <w:r w:rsidRPr="009548E1">
              <w:rPr>
                <w:sz w:val="18"/>
                <w:szCs w:val="18"/>
              </w:rPr>
              <w:t>F/P 01576-003-002 - Projekt financiranja zdravstvenih ustanova u RH</w:t>
            </w:r>
          </w:p>
        </w:tc>
        <w:tc>
          <w:tcPr>
            <w:tcW w:w="884" w:type="dxa"/>
            <w:tcBorders>
              <w:top w:val="nil"/>
              <w:left w:val="nil"/>
              <w:bottom w:val="single" w:sz="4" w:space="0" w:color="auto"/>
              <w:right w:val="single" w:sz="4" w:space="0" w:color="auto"/>
            </w:tcBorders>
            <w:shd w:val="clear" w:color="auto" w:fill="auto"/>
            <w:noWrap/>
            <w:vAlign w:val="center"/>
            <w:hideMark/>
          </w:tcPr>
          <w:p w14:paraId="6777D9E9"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7BEFA984"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3447200B" w14:textId="77777777" w:rsidR="00293F62" w:rsidRPr="009548E1" w:rsidRDefault="00293F62" w:rsidP="005C7D38">
            <w:pPr>
              <w:jc w:val="right"/>
              <w:rPr>
                <w:color w:val="000000"/>
                <w:sz w:val="18"/>
                <w:szCs w:val="18"/>
              </w:rPr>
            </w:pPr>
            <w:r w:rsidRPr="009548E1">
              <w:rPr>
                <w:color w:val="000000"/>
                <w:sz w:val="18"/>
                <w:szCs w:val="18"/>
              </w:rPr>
              <w:t>7.018.904,00</w:t>
            </w:r>
          </w:p>
        </w:tc>
      </w:tr>
      <w:tr w:rsidR="00293F62" w:rsidRPr="009548E1" w14:paraId="46FF0425" w14:textId="77777777" w:rsidTr="005C7D38">
        <w:trPr>
          <w:trHeight w:val="48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4C3266B" w14:textId="77777777" w:rsidR="00293F62" w:rsidRPr="009548E1" w:rsidRDefault="00293F62" w:rsidP="005C7D38">
            <w:pPr>
              <w:jc w:val="center"/>
              <w:rPr>
                <w:sz w:val="18"/>
                <w:szCs w:val="18"/>
              </w:rPr>
            </w:pPr>
            <w:r w:rsidRPr="009548E1">
              <w:rPr>
                <w:sz w:val="18"/>
                <w:szCs w:val="18"/>
              </w:rPr>
              <w:t>13.</w:t>
            </w:r>
          </w:p>
        </w:tc>
        <w:tc>
          <w:tcPr>
            <w:tcW w:w="4678" w:type="dxa"/>
            <w:tcBorders>
              <w:top w:val="nil"/>
              <w:left w:val="nil"/>
              <w:bottom w:val="single" w:sz="4" w:space="0" w:color="auto"/>
              <w:right w:val="single" w:sz="4" w:space="0" w:color="auto"/>
            </w:tcBorders>
            <w:shd w:val="clear" w:color="auto" w:fill="auto"/>
            <w:vAlign w:val="center"/>
            <w:hideMark/>
          </w:tcPr>
          <w:p w14:paraId="4DA589E6" w14:textId="77777777" w:rsidR="00293F62" w:rsidRPr="009548E1" w:rsidRDefault="00293F62" w:rsidP="005C7D38">
            <w:pPr>
              <w:rPr>
                <w:sz w:val="18"/>
                <w:szCs w:val="18"/>
              </w:rPr>
            </w:pPr>
            <w:r w:rsidRPr="009548E1">
              <w:rPr>
                <w:sz w:val="18"/>
                <w:szCs w:val="18"/>
              </w:rPr>
              <w:t>F/P 01751-001-001 - Projekt "Financiranje vodno-komunalne infrastrukture"</w:t>
            </w:r>
          </w:p>
        </w:tc>
        <w:tc>
          <w:tcPr>
            <w:tcW w:w="884" w:type="dxa"/>
            <w:tcBorders>
              <w:top w:val="nil"/>
              <w:left w:val="nil"/>
              <w:bottom w:val="single" w:sz="4" w:space="0" w:color="auto"/>
              <w:right w:val="single" w:sz="4" w:space="0" w:color="auto"/>
            </w:tcBorders>
            <w:shd w:val="clear" w:color="auto" w:fill="auto"/>
            <w:noWrap/>
            <w:vAlign w:val="center"/>
            <w:hideMark/>
          </w:tcPr>
          <w:p w14:paraId="62A80AC7"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63B26668"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4E0F961F" w14:textId="77777777" w:rsidR="00293F62" w:rsidRPr="009548E1" w:rsidRDefault="00293F62" w:rsidP="005C7D38">
            <w:pPr>
              <w:jc w:val="right"/>
              <w:rPr>
                <w:color w:val="000000"/>
                <w:sz w:val="18"/>
                <w:szCs w:val="18"/>
              </w:rPr>
            </w:pPr>
            <w:r w:rsidRPr="009548E1">
              <w:rPr>
                <w:color w:val="000000"/>
                <w:sz w:val="18"/>
                <w:szCs w:val="18"/>
              </w:rPr>
              <w:t>7.000.000,00</w:t>
            </w:r>
          </w:p>
        </w:tc>
      </w:tr>
      <w:tr w:rsidR="00293F62" w:rsidRPr="009548E1" w14:paraId="30824E2D" w14:textId="77777777" w:rsidTr="005C7D38">
        <w:trPr>
          <w:trHeight w:val="48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04ED3F6" w14:textId="77777777" w:rsidR="00293F62" w:rsidRPr="009548E1" w:rsidRDefault="00293F62" w:rsidP="005C7D38">
            <w:pPr>
              <w:jc w:val="center"/>
              <w:rPr>
                <w:sz w:val="18"/>
                <w:szCs w:val="18"/>
              </w:rPr>
            </w:pPr>
            <w:r w:rsidRPr="009548E1">
              <w:rPr>
                <w:sz w:val="18"/>
                <w:szCs w:val="18"/>
              </w:rPr>
              <w:t>14.</w:t>
            </w:r>
          </w:p>
        </w:tc>
        <w:tc>
          <w:tcPr>
            <w:tcW w:w="4678" w:type="dxa"/>
            <w:tcBorders>
              <w:top w:val="nil"/>
              <w:left w:val="nil"/>
              <w:bottom w:val="single" w:sz="4" w:space="0" w:color="auto"/>
              <w:right w:val="single" w:sz="4" w:space="0" w:color="auto"/>
            </w:tcBorders>
            <w:shd w:val="clear" w:color="auto" w:fill="auto"/>
            <w:vAlign w:val="center"/>
            <w:hideMark/>
          </w:tcPr>
          <w:p w14:paraId="2B265A03" w14:textId="77777777" w:rsidR="00293F62" w:rsidRPr="009548E1" w:rsidRDefault="00293F62" w:rsidP="005C7D38">
            <w:pPr>
              <w:rPr>
                <w:sz w:val="18"/>
                <w:szCs w:val="18"/>
              </w:rPr>
            </w:pPr>
            <w:r w:rsidRPr="009548E1">
              <w:rPr>
                <w:sz w:val="18"/>
                <w:szCs w:val="18"/>
              </w:rPr>
              <w:t>F/P 01751-003-000 - Projekt "Financiranje vodno-komunalne infrastrukture"</w:t>
            </w:r>
          </w:p>
        </w:tc>
        <w:tc>
          <w:tcPr>
            <w:tcW w:w="884" w:type="dxa"/>
            <w:tcBorders>
              <w:top w:val="nil"/>
              <w:left w:val="nil"/>
              <w:bottom w:val="single" w:sz="4" w:space="0" w:color="auto"/>
              <w:right w:val="single" w:sz="4" w:space="0" w:color="auto"/>
            </w:tcBorders>
            <w:shd w:val="clear" w:color="auto" w:fill="auto"/>
            <w:noWrap/>
            <w:vAlign w:val="center"/>
            <w:hideMark/>
          </w:tcPr>
          <w:p w14:paraId="7957F02A"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3DA57B9C"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1083EF5C" w14:textId="77777777" w:rsidR="00293F62" w:rsidRPr="009548E1" w:rsidRDefault="00293F62" w:rsidP="005C7D38">
            <w:pPr>
              <w:jc w:val="right"/>
              <w:rPr>
                <w:color w:val="000000"/>
                <w:sz w:val="18"/>
                <w:szCs w:val="18"/>
              </w:rPr>
            </w:pPr>
            <w:r w:rsidRPr="009548E1">
              <w:rPr>
                <w:color w:val="000000"/>
                <w:sz w:val="18"/>
                <w:szCs w:val="18"/>
              </w:rPr>
              <w:t>750.000,00</w:t>
            </w:r>
          </w:p>
        </w:tc>
      </w:tr>
      <w:tr w:rsidR="00293F62" w:rsidRPr="009548E1" w14:paraId="05187228" w14:textId="77777777" w:rsidTr="005C7D38">
        <w:trPr>
          <w:trHeight w:val="48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1FDDF34" w14:textId="77777777" w:rsidR="00293F62" w:rsidRPr="009548E1" w:rsidRDefault="00293F62" w:rsidP="005C7D38">
            <w:pPr>
              <w:jc w:val="center"/>
              <w:rPr>
                <w:sz w:val="18"/>
                <w:szCs w:val="18"/>
              </w:rPr>
            </w:pPr>
            <w:r w:rsidRPr="009548E1">
              <w:rPr>
                <w:sz w:val="18"/>
                <w:szCs w:val="18"/>
              </w:rPr>
              <w:t>15.</w:t>
            </w:r>
          </w:p>
        </w:tc>
        <w:tc>
          <w:tcPr>
            <w:tcW w:w="4678" w:type="dxa"/>
            <w:tcBorders>
              <w:top w:val="nil"/>
              <w:left w:val="nil"/>
              <w:bottom w:val="single" w:sz="4" w:space="0" w:color="auto"/>
              <w:right w:val="single" w:sz="4" w:space="0" w:color="auto"/>
            </w:tcBorders>
            <w:shd w:val="clear" w:color="auto" w:fill="auto"/>
            <w:vAlign w:val="center"/>
            <w:hideMark/>
          </w:tcPr>
          <w:p w14:paraId="536892F9" w14:textId="77777777" w:rsidR="00293F62" w:rsidRPr="009548E1" w:rsidRDefault="00293F62" w:rsidP="005C7D38">
            <w:pPr>
              <w:rPr>
                <w:sz w:val="18"/>
                <w:szCs w:val="18"/>
              </w:rPr>
            </w:pPr>
            <w:r w:rsidRPr="009548E1">
              <w:rPr>
                <w:sz w:val="18"/>
                <w:szCs w:val="18"/>
              </w:rPr>
              <w:t>F/P 01751-004-000 - Projekt "Financiranje vodno-komunalne infrastrukture"</w:t>
            </w:r>
          </w:p>
        </w:tc>
        <w:tc>
          <w:tcPr>
            <w:tcW w:w="884" w:type="dxa"/>
            <w:tcBorders>
              <w:top w:val="nil"/>
              <w:left w:val="nil"/>
              <w:bottom w:val="single" w:sz="4" w:space="0" w:color="auto"/>
              <w:right w:val="single" w:sz="4" w:space="0" w:color="auto"/>
            </w:tcBorders>
            <w:shd w:val="clear" w:color="auto" w:fill="auto"/>
            <w:noWrap/>
            <w:vAlign w:val="center"/>
            <w:hideMark/>
          </w:tcPr>
          <w:p w14:paraId="6DDB466D"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1029B9FD"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2BD0D216" w14:textId="77777777" w:rsidR="00293F62" w:rsidRPr="009548E1" w:rsidRDefault="00293F62" w:rsidP="005C7D38">
            <w:pPr>
              <w:jc w:val="right"/>
              <w:rPr>
                <w:color w:val="000000"/>
                <w:sz w:val="18"/>
                <w:szCs w:val="18"/>
              </w:rPr>
            </w:pPr>
            <w:r w:rsidRPr="009548E1">
              <w:rPr>
                <w:color w:val="000000"/>
                <w:sz w:val="18"/>
                <w:szCs w:val="18"/>
              </w:rPr>
              <w:t>1.500.000,00</w:t>
            </w:r>
          </w:p>
        </w:tc>
      </w:tr>
      <w:tr w:rsidR="00293F62" w:rsidRPr="009548E1" w14:paraId="433F48D6" w14:textId="77777777" w:rsidTr="005C7D38">
        <w:trPr>
          <w:trHeight w:val="255"/>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5E02C0B" w14:textId="77777777" w:rsidR="00293F62" w:rsidRPr="009548E1" w:rsidRDefault="00293F62" w:rsidP="005C7D38">
            <w:pPr>
              <w:jc w:val="center"/>
              <w:rPr>
                <w:sz w:val="18"/>
                <w:szCs w:val="18"/>
              </w:rPr>
            </w:pPr>
            <w:r w:rsidRPr="009548E1">
              <w:rPr>
                <w:sz w:val="18"/>
                <w:szCs w:val="18"/>
              </w:rPr>
              <w:t>16.</w:t>
            </w:r>
          </w:p>
        </w:tc>
        <w:tc>
          <w:tcPr>
            <w:tcW w:w="4678" w:type="dxa"/>
            <w:tcBorders>
              <w:top w:val="nil"/>
              <w:left w:val="nil"/>
              <w:bottom w:val="single" w:sz="4" w:space="0" w:color="auto"/>
              <w:right w:val="single" w:sz="4" w:space="0" w:color="auto"/>
            </w:tcBorders>
            <w:shd w:val="clear" w:color="auto" w:fill="auto"/>
            <w:vAlign w:val="center"/>
            <w:hideMark/>
          </w:tcPr>
          <w:p w14:paraId="54066EB9" w14:textId="77777777" w:rsidR="00293F62" w:rsidRPr="009548E1" w:rsidRDefault="00293F62" w:rsidP="005C7D38">
            <w:pPr>
              <w:rPr>
                <w:sz w:val="18"/>
                <w:szCs w:val="18"/>
              </w:rPr>
            </w:pPr>
            <w:r w:rsidRPr="009548E1">
              <w:rPr>
                <w:sz w:val="18"/>
                <w:szCs w:val="18"/>
              </w:rPr>
              <w:t>LD 01845-001-000 - Projekt zaštite od poplava</w:t>
            </w:r>
          </w:p>
        </w:tc>
        <w:tc>
          <w:tcPr>
            <w:tcW w:w="884" w:type="dxa"/>
            <w:tcBorders>
              <w:top w:val="nil"/>
              <w:left w:val="nil"/>
              <w:bottom w:val="single" w:sz="4" w:space="0" w:color="auto"/>
              <w:right w:val="single" w:sz="4" w:space="0" w:color="auto"/>
            </w:tcBorders>
            <w:shd w:val="clear" w:color="auto" w:fill="auto"/>
            <w:noWrap/>
            <w:vAlign w:val="center"/>
            <w:hideMark/>
          </w:tcPr>
          <w:p w14:paraId="15D2890D"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48E06308"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6344034B" w14:textId="77777777" w:rsidR="00293F62" w:rsidRPr="009548E1" w:rsidRDefault="00293F62" w:rsidP="005C7D38">
            <w:pPr>
              <w:jc w:val="right"/>
              <w:rPr>
                <w:color w:val="000000"/>
                <w:sz w:val="18"/>
                <w:szCs w:val="18"/>
              </w:rPr>
            </w:pPr>
            <w:r w:rsidRPr="009548E1">
              <w:rPr>
                <w:color w:val="000000"/>
                <w:sz w:val="18"/>
                <w:szCs w:val="18"/>
              </w:rPr>
              <w:t>1.492.500,00</w:t>
            </w:r>
          </w:p>
        </w:tc>
      </w:tr>
      <w:tr w:rsidR="00293F62" w:rsidRPr="009548E1" w14:paraId="3666FFF1" w14:textId="77777777" w:rsidTr="005C7D38">
        <w:trPr>
          <w:trHeight w:val="255"/>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DDA057E" w14:textId="77777777" w:rsidR="00293F62" w:rsidRPr="009548E1" w:rsidRDefault="00293F62" w:rsidP="005C7D38">
            <w:pPr>
              <w:jc w:val="center"/>
              <w:rPr>
                <w:sz w:val="18"/>
                <w:szCs w:val="18"/>
              </w:rPr>
            </w:pPr>
            <w:r w:rsidRPr="009548E1">
              <w:rPr>
                <w:sz w:val="18"/>
                <w:szCs w:val="18"/>
              </w:rPr>
              <w:t>17.</w:t>
            </w:r>
          </w:p>
        </w:tc>
        <w:tc>
          <w:tcPr>
            <w:tcW w:w="4678" w:type="dxa"/>
            <w:tcBorders>
              <w:top w:val="nil"/>
              <w:left w:val="nil"/>
              <w:bottom w:val="single" w:sz="4" w:space="0" w:color="auto"/>
              <w:right w:val="single" w:sz="4" w:space="0" w:color="auto"/>
            </w:tcBorders>
            <w:shd w:val="clear" w:color="auto" w:fill="auto"/>
            <w:vAlign w:val="center"/>
            <w:hideMark/>
          </w:tcPr>
          <w:p w14:paraId="6011A51D" w14:textId="77777777" w:rsidR="00293F62" w:rsidRPr="009548E1" w:rsidRDefault="00293F62" w:rsidP="005C7D38">
            <w:pPr>
              <w:rPr>
                <w:sz w:val="18"/>
                <w:szCs w:val="18"/>
              </w:rPr>
            </w:pPr>
            <w:r w:rsidRPr="009548E1">
              <w:rPr>
                <w:sz w:val="18"/>
                <w:szCs w:val="18"/>
              </w:rPr>
              <w:t>LD 01845-002-000 - Projekt zaštite od poplava</w:t>
            </w:r>
          </w:p>
        </w:tc>
        <w:tc>
          <w:tcPr>
            <w:tcW w:w="884" w:type="dxa"/>
            <w:tcBorders>
              <w:top w:val="nil"/>
              <w:left w:val="nil"/>
              <w:bottom w:val="single" w:sz="4" w:space="0" w:color="auto"/>
              <w:right w:val="single" w:sz="4" w:space="0" w:color="auto"/>
            </w:tcBorders>
            <w:shd w:val="clear" w:color="auto" w:fill="auto"/>
            <w:noWrap/>
            <w:vAlign w:val="center"/>
            <w:hideMark/>
          </w:tcPr>
          <w:p w14:paraId="1FF82A92"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0E85DF23"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40CDE8C1" w14:textId="77777777" w:rsidR="00293F62" w:rsidRPr="009548E1" w:rsidRDefault="00293F62" w:rsidP="005C7D38">
            <w:pPr>
              <w:jc w:val="right"/>
              <w:rPr>
                <w:color w:val="000000"/>
                <w:sz w:val="18"/>
                <w:szCs w:val="18"/>
              </w:rPr>
            </w:pPr>
            <w:r w:rsidRPr="009548E1">
              <w:rPr>
                <w:color w:val="000000"/>
                <w:sz w:val="18"/>
                <w:szCs w:val="18"/>
              </w:rPr>
              <w:t>4.633.099,99</w:t>
            </w:r>
          </w:p>
        </w:tc>
      </w:tr>
      <w:tr w:rsidR="00293F62" w:rsidRPr="009548E1" w14:paraId="7ED54830" w14:textId="77777777" w:rsidTr="005C7D38">
        <w:trPr>
          <w:trHeight w:val="255"/>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8759380" w14:textId="77777777" w:rsidR="00293F62" w:rsidRPr="009548E1" w:rsidRDefault="00293F62" w:rsidP="005C7D38">
            <w:pPr>
              <w:jc w:val="center"/>
              <w:rPr>
                <w:sz w:val="18"/>
                <w:szCs w:val="18"/>
              </w:rPr>
            </w:pPr>
            <w:r w:rsidRPr="009548E1">
              <w:rPr>
                <w:sz w:val="18"/>
                <w:szCs w:val="18"/>
              </w:rPr>
              <w:t>18.</w:t>
            </w:r>
          </w:p>
        </w:tc>
        <w:tc>
          <w:tcPr>
            <w:tcW w:w="4678" w:type="dxa"/>
            <w:tcBorders>
              <w:top w:val="nil"/>
              <w:left w:val="nil"/>
              <w:bottom w:val="single" w:sz="4" w:space="0" w:color="auto"/>
              <w:right w:val="single" w:sz="4" w:space="0" w:color="auto"/>
            </w:tcBorders>
            <w:shd w:val="clear" w:color="auto" w:fill="auto"/>
            <w:vAlign w:val="center"/>
            <w:hideMark/>
          </w:tcPr>
          <w:p w14:paraId="41A84BE6" w14:textId="77777777" w:rsidR="00293F62" w:rsidRPr="009548E1" w:rsidRDefault="00293F62" w:rsidP="005C7D38">
            <w:pPr>
              <w:rPr>
                <w:sz w:val="18"/>
                <w:szCs w:val="18"/>
              </w:rPr>
            </w:pPr>
            <w:r w:rsidRPr="009548E1">
              <w:rPr>
                <w:sz w:val="18"/>
                <w:szCs w:val="18"/>
              </w:rPr>
              <w:t>LD 01845-003-000 - Projekt zaštite od poplava</w:t>
            </w:r>
          </w:p>
        </w:tc>
        <w:tc>
          <w:tcPr>
            <w:tcW w:w="884" w:type="dxa"/>
            <w:tcBorders>
              <w:top w:val="nil"/>
              <w:left w:val="nil"/>
              <w:bottom w:val="single" w:sz="4" w:space="0" w:color="auto"/>
              <w:right w:val="single" w:sz="4" w:space="0" w:color="auto"/>
            </w:tcBorders>
            <w:shd w:val="clear" w:color="auto" w:fill="auto"/>
            <w:noWrap/>
            <w:vAlign w:val="center"/>
            <w:hideMark/>
          </w:tcPr>
          <w:p w14:paraId="70748B72"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42168CE6"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76283063" w14:textId="77777777" w:rsidR="00293F62" w:rsidRPr="009548E1" w:rsidRDefault="00293F62" w:rsidP="005C7D38">
            <w:pPr>
              <w:jc w:val="right"/>
              <w:rPr>
                <w:color w:val="000000"/>
                <w:sz w:val="18"/>
                <w:szCs w:val="18"/>
              </w:rPr>
            </w:pPr>
            <w:r w:rsidRPr="009548E1">
              <w:rPr>
                <w:color w:val="000000"/>
                <w:sz w:val="18"/>
                <w:szCs w:val="18"/>
              </w:rPr>
              <w:t>2.800.000,00</w:t>
            </w:r>
          </w:p>
        </w:tc>
      </w:tr>
      <w:tr w:rsidR="00293F62" w:rsidRPr="009548E1" w14:paraId="22A153AB" w14:textId="77777777" w:rsidTr="005C7D38">
        <w:trPr>
          <w:trHeight w:val="255"/>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73F4DF3" w14:textId="77777777" w:rsidR="00293F62" w:rsidRPr="009548E1" w:rsidRDefault="00293F62" w:rsidP="005C7D38">
            <w:pPr>
              <w:jc w:val="center"/>
              <w:rPr>
                <w:sz w:val="18"/>
                <w:szCs w:val="18"/>
              </w:rPr>
            </w:pPr>
            <w:r w:rsidRPr="009548E1">
              <w:rPr>
                <w:sz w:val="18"/>
                <w:szCs w:val="18"/>
              </w:rPr>
              <w:t>19.</w:t>
            </w:r>
          </w:p>
        </w:tc>
        <w:tc>
          <w:tcPr>
            <w:tcW w:w="4678" w:type="dxa"/>
            <w:tcBorders>
              <w:top w:val="nil"/>
              <w:left w:val="nil"/>
              <w:bottom w:val="single" w:sz="4" w:space="0" w:color="auto"/>
              <w:right w:val="single" w:sz="4" w:space="0" w:color="auto"/>
            </w:tcBorders>
            <w:shd w:val="clear" w:color="auto" w:fill="auto"/>
            <w:vAlign w:val="center"/>
            <w:hideMark/>
          </w:tcPr>
          <w:p w14:paraId="329E4E80" w14:textId="77777777" w:rsidR="00293F62" w:rsidRPr="009548E1" w:rsidRDefault="00293F62" w:rsidP="005C7D38">
            <w:pPr>
              <w:rPr>
                <w:sz w:val="18"/>
                <w:szCs w:val="18"/>
              </w:rPr>
            </w:pPr>
            <w:r w:rsidRPr="009548E1">
              <w:rPr>
                <w:sz w:val="18"/>
                <w:szCs w:val="18"/>
              </w:rPr>
              <w:t>LD 01845-004-000 - Projekt zaštite od poplava</w:t>
            </w:r>
          </w:p>
        </w:tc>
        <w:tc>
          <w:tcPr>
            <w:tcW w:w="884" w:type="dxa"/>
            <w:tcBorders>
              <w:top w:val="nil"/>
              <w:left w:val="nil"/>
              <w:bottom w:val="single" w:sz="4" w:space="0" w:color="auto"/>
              <w:right w:val="single" w:sz="4" w:space="0" w:color="auto"/>
            </w:tcBorders>
            <w:shd w:val="clear" w:color="auto" w:fill="auto"/>
            <w:noWrap/>
            <w:vAlign w:val="center"/>
            <w:hideMark/>
          </w:tcPr>
          <w:p w14:paraId="7E365B90"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0663A611"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37E68C4E" w14:textId="77777777" w:rsidR="00293F62" w:rsidRPr="009548E1" w:rsidRDefault="00293F62" w:rsidP="005C7D38">
            <w:pPr>
              <w:jc w:val="right"/>
              <w:rPr>
                <w:color w:val="000000"/>
                <w:sz w:val="18"/>
                <w:szCs w:val="18"/>
              </w:rPr>
            </w:pPr>
            <w:r w:rsidRPr="009548E1">
              <w:rPr>
                <w:color w:val="000000"/>
                <w:sz w:val="18"/>
                <w:szCs w:val="18"/>
              </w:rPr>
              <w:t>6.019.444,46</w:t>
            </w:r>
          </w:p>
        </w:tc>
      </w:tr>
      <w:tr w:rsidR="00293F62" w:rsidRPr="009548E1" w14:paraId="60F62C7D" w14:textId="77777777" w:rsidTr="005C7D38">
        <w:trPr>
          <w:trHeight w:val="255"/>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2139DF7" w14:textId="77777777" w:rsidR="00293F62" w:rsidRPr="009548E1" w:rsidRDefault="00293F62" w:rsidP="005C7D38">
            <w:pPr>
              <w:jc w:val="center"/>
              <w:rPr>
                <w:sz w:val="18"/>
                <w:szCs w:val="18"/>
              </w:rPr>
            </w:pPr>
            <w:r w:rsidRPr="009548E1">
              <w:rPr>
                <w:sz w:val="18"/>
                <w:szCs w:val="18"/>
              </w:rPr>
              <w:t>20.</w:t>
            </w:r>
          </w:p>
        </w:tc>
        <w:tc>
          <w:tcPr>
            <w:tcW w:w="4678" w:type="dxa"/>
            <w:tcBorders>
              <w:top w:val="nil"/>
              <w:left w:val="nil"/>
              <w:bottom w:val="single" w:sz="4" w:space="0" w:color="auto"/>
              <w:right w:val="single" w:sz="4" w:space="0" w:color="auto"/>
            </w:tcBorders>
            <w:shd w:val="clear" w:color="auto" w:fill="auto"/>
            <w:vAlign w:val="center"/>
            <w:hideMark/>
          </w:tcPr>
          <w:p w14:paraId="659FD436" w14:textId="77777777" w:rsidR="00293F62" w:rsidRPr="009548E1" w:rsidRDefault="00293F62" w:rsidP="005C7D38">
            <w:pPr>
              <w:rPr>
                <w:sz w:val="18"/>
                <w:szCs w:val="18"/>
              </w:rPr>
            </w:pPr>
            <w:r w:rsidRPr="009548E1">
              <w:rPr>
                <w:sz w:val="18"/>
                <w:szCs w:val="18"/>
              </w:rPr>
              <w:t>LD 01845-005-000 - Projekt zaštite od poplava</w:t>
            </w:r>
          </w:p>
        </w:tc>
        <w:tc>
          <w:tcPr>
            <w:tcW w:w="884" w:type="dxa"/>
            <w:tcBorders>
              <w:top w:val="nil"/>
              <w:left w:val="nil"/>
              <w:bottom w:val="single" w:sz="4" w:space="0" w:color="auto"/>
              <w:right w:val="single" w:sz="4" w:space="0" w:color="auto"/>
            </w:tcBorders>
            <w:shd w:val="clear" w:color="auto" w:fill="auto"/>
            <w:noWrap/>
            <w:vAlign w:val="center"/>
            <w:hideMark/>
          </w:tcPr>
          <w:p w14:paraId="3F9D0065"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0525084C"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78BC0AC5" w14:textId="77777777" w:rsidR="00293F62" w:rsidRPr="009548E1" w:rsidRDefault="00293F62" w:rsidP="005C7D38">
            <w:pPr>
              <w:jc w:val="right"/>
              <w:rPr>
                <w:color w:val="000000"/>
                <w:sz w:val="18"/>
                <w:szCs w:val="18"/>
              </w:rPr>
            </w:pPr>
            <w:r w:rsidRPr="009548E1">
              <w:rPr>
                <w:color w:val="000000"/>
                <w:sz w:val="18"/>
                <w:szCs w:val="18"/>
              </w:rPr>
              <w:t>6.726.633,35</w:t>
            </w:r>
          </w:p>
        </w:tc>
      </w:tr>
      <w:tr w:rsidR="00293F62" w:rsidRPr="009548E1" w14:paraId="246DCA08" w14:textId="77777777" w:rsidTr="005C7D38">
        <w:trPr>
          <w:trHeight w:val="51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F159A3D" w14:textId="77777777" w:rsidR="00293F62" w:rsidRPr="009548E1" w:rsidRDefault="00293F62" w:rsidP="005C7D38">
            <w:pPr>
              <w:jc w:val="center"/>
              <w:rPr>
                <w:sz w:val="18"/>
                <w:szCs w:val="18"/>
              </w:rPr>
            </w:pPr>
            <w:r w:rsidRPr="009548E1">
              <w:rPr>
                <w:sz w:val="18"/>
                <w:szCs w:val="18"/>
              </w:rPr>
              <w:t>21.</w:t>
            </w:r>
          </w:p>
        </w:tc>
        <w:tc>
          <w:tcPr>
            <w:tcW w:w="4678" w:type="dxa"/>
            <w:tcBorders>
              <w:top w:val="nil"/>
              <w:left w:val="nil"/>
              <w:bottom w:val="single" w:sz="4" w:space="0" w:color="auto"/>
              <w:right w:val="single" w:sz="4" w:space="0" w:color="auto"/>
            </w:tcBorders>
            <w:shd w:val="clear" w:color="auto" w:fill="auto"/>
            <w:vAlign w:val="center"/>
            <w:hideMark/>
          </w:tcPr>
          <w:p w14:paraId="5ACB0667" w14:textId="77777777" w:rsidR="00293F62" w:rsidRPr="009548E1" w:rsidRDefault="00293F62" w:rsidP="005C7D38">
            <w:pPr>
              <w:rPr>
                <w:sz w:val="18"/>
                <w:szCs w:val="18"/>
              </w:rPr>
            </w:pPr>
            <w:r w:rsidRPr="009548E1">
              <w:rPr>
                <w:sz w:val="18"/>
                <w:szCs w:val="18"/>
              </w:rPr>
              <w:t xml:space="preserve">LD 2056-001-000 - Podrška mjerama u Republici Hrvatskoj, povezanih s </w:t>
            </w:r>
            <w:proofErr w:type="spellStart"/>
            <w:r w:rsidRPr="009548E1">
              <w:rPr>
                <w:sz w:val="18"/>
                <w:szCs w:val="18"/>
              </w:rPr>
              <w:t>pandemijom</w:t>
            </w:r>
            <w:proofErr w:type="spellEnd"/>
            <w:r w:rsidRPr="009548E1">
              <w:rPr>
                <w:sz w:val="18"/>
                <w:szCs w:val="18"/>
              </w:rPr>
              <w:t xml:space="preserve"> bolesti COVID-19 – instrument financiranja javnog sektora</w:t>
            </w:r>
          </w:p>
        </w:tc>
        <w:tc>
          <w:tcPr>
            <w:tcW w:w="884" w:type="dxa"/>
            <w:tcBorders>
              <w:top w:val="nil"/>
              <w:left w:val="nil"/>
              <w:bottom w:val="single" w:sz="4" w:space="0" w:color="auto"/>
              <w:right w:val="single" w:sz="4" w:space="0" w:color="auto"/>
            </w:tcBorders>
            <w:shd w:val="clear" w:color="auto" w:fill="auto"/>
            <w:noWrap/>
            <w:vAlign w:val="center"/>
            <w:hideMark/>
          </w:tcPr>
          <w:p w14:paraId="39C17B01"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4E98AA2E"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51C5983A" w14:textId="77777777" w:rsidR="00293F62" w:rsidRPr="009548E1" w:rsidRDefault="00293F62" w:rsidP="005C7D38">
            <w:pPr>
              <w:jc w:val="right"/>
              <w:rPr>
                <w:color w:val="000000"/>
                <w:sz w:val="18"/>
                <w:szCs w:val="18"/>
              </w:rPr>
            </w:pPr>
            <w:r w:rsidRPr="009548E1">
              <w:rPr>
                <w:color w:val="000000"/>
                <w:sz w:val="18"/>
                <w:szCs w:val="18"/>
              </w:rPr>
              <w:t>150.000.000,00</w:t>
            </w:r>
          </w:p>
        </w:tc>
      </w:tr>
      <w:tr w:rsidR="00293F62" w:rsidRPr="009548E1" w14:paraId="04A8AFAD" w14:textId="77777777" w:rsidTr="005C7D38">
        <w:trPr>
          <w:trHeight w:val="51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2EC4A08" w14:textId="77777777" w:rsidR="00293F62" w:rsidRPr="009548E1" w:rsidRDefault="00293F62" w:rsidP="005C7D38">
            <w:pPr>
              <w:jc w:val="center"/>
              <w:rPr>
                <w:sz w:val="18"/>
                <w:szCs w:val="18"/>
              </w:rPr>
            </w:pPr>
            <w:r w:rsidRPr="009548E1">
              <w:rPr>
                <w:sz w:val="18"/>
                <w:szCs w:val="18"/>
              </w:rPr>
              <w:t>22.</w:t>
            </w:r>
          </w:p>
        </w:tc>
        <w:tc>
          <w:tcPr>
            <w:tcW w:w="4678" w:type="dxa"/>
            <w:tcBorders>
              <w:top w:val="nil"/>
              <w:left w:val="nil"/>
              <w:bottom w:val="single" w:sz="4" w:space="0" w:color="auto"/>
              <w:right w:val="single" w:sz="4" w:space="0" w:color="auto"/>
            </w:tcBorders>
            <w:shd w:val="clear" w:color="auto" w:fill="auto"/>
            <w:vAlign w:val="center"/>
            <w:hideMark/>
          </w:tcPr>
          <w:p w14:paraId="5DE0E66D" w14:textId="77777777" w:rsidR="00293F62" w:rsidRPr="009548E1" w:rsidRDefault="00293F62" w:rsidP="005C7D38">
            <w:pPr>
              <w:rPr>
                <w:sz w:val="18"/>
                <w:szCs w:val="18"/>
              </w:rPr>
            </w:pPr>
            <w:r w:rsidRPr="009548E1">
              <w:rPr>
                <w:sz w:val="18"/>
                <w:szCs w:val="18"/>
              </w:rPr>
              <w:t xml:space="preserve">LD 2056-002-000 - Podrška mjerama u Republici Hrvatskoj, povezanih s </w:t>
            </w:r>
            <w:proofErr w:type="spellStart"/>
            <w:r w:rsidRPr="009548E1">
              <w:rPr>
                <w:sz w:val="18"/>
                <w:szCs w:val="18"/>
              </w:rPr>
              <w:t>pandemijom</w:t>
            </w:r>
            <w:proofErr w:type="spellEnd"/>
            <w:r w:rsidRPr="009548E1">
              <w:rPr>
                <w:sz w:val="18"/>
                <w:szCs w:val="18"/>
              </w:rPr>
              <w:t xml:space="preserve"> bolesti COVID-19 – instrument financiranja javnog sektora</w:t>
            </w:r>
          </w:p>
        </w:tc>
        <w:tc>
          <w:tcPr>
            <w:tcW w:w="884" w:type="dxa"/>
            <w:tcBorders>
              <w:top w:val="nil"/>
              <w:left w:val="nil"/>
              <w:bottom w:val="single" w:sz="4" w:space="0" w:color="auto"/>
              <w:right w:val="single" w:sz="4" w:space="0" w:color="auto"/>
            </w:tcBorders>
            <w:shd w:val="clear" w:color="auto" w:fill="auto"/>
            <w:noWrap/>
            <w:vAlign w:val="center"/>
            <w:hideMark/>
          </w:tcPr>
          <w:p w14:paraId="17F4D56B" w14:textId="77777777" w:rsidR="00293F62" w:rsidRPr="009548E1" w:rsidRDefault="00293F62" w:rsidP="005C7D38">
            <w:pPr>
              <w:jc w:val="center"/>
              <w:rPr>
                <w:color w:val="000000"/>
                <w:sz w:val="18"/>
                <w:szCs w:val="18"/>
              </w:rPr>
            </w:pPr>
            <w:r w:rsidRPr="009548E1">
              <w:rPr>
                <w:color w:val="000000"/>
                <w:sz w:val="18"/>
                <w:szCs w:val="18"/>
              </w:rPr>
              <w:t>CEB</w:t>
            </w:r>
          </w:p>
        </w:tc>
        <w:tc>
          <w:tcPr>
            <w:tcW w:w="910" w:type="dxa"/>
            <w:tcBorders>
              <w:top w:val="nil"/>
              <w:left w:val="nil"/>
              <w:bottom w:val="single" w:sz="4" w:space="0" w:color="auto"/>
              <w:right w:val="single" w:sz="4" w:space="0" w:color="auto"/>
            </w:tcBorders>
            <w:shd w:val="clear" w:color="auto" w:fill="auto"/>
            <w:noWrap/>
            <w:vAlign w:val="center"/>
            <w:hideMark/>
          </w:tcPr>
          <w:p w14:paraId="26AC19FA"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336D56D3" w14:textId="77777777" w:rsidR="00293F62" w:rsidRPr="009548E1" w:rsidRDefault="00293F62" w:rsidP="005C7D38">
            <w:pPr>
              <w:jc w:val="right"/>
              <w:rPr>
                <w:color w:val="000000"/>
                <w:sz w:val="18"/>
                <w:szCs w:val="18"/>
              </w:rPr>
            </w:pPr>
            <w:r w:rsidRPr="009548E1">
              <w:rPr>
                <w:color w:val="000000"/>
                <w:sz w:val="18"/>
                <w:szCs w:val="18"/>
              </w:rPr>
              <w:t>50.000.000,00</w:t>
            </w:r>
          </w:p>
        </w:tc>
      </w:tr>
      <w:tr w:rsidR="00293F62" w:rsidRPr="009548E1" w14:paraId="19EF5663" w14:textId="77777777" w:rsidTr="005C7D38">
        <w:trPr>
          <w:trHeight w:val="315"/>
          <w:jc w:val="right"/>
        </w:trPr>
        <w:tc>
          <w:tcPr>
            <w:tcW w:w="996"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6683D36" w14:textId="77777777" w:rsidR="00293F62" w:rsidRPr="009548E1" w:rsidRDefault="00293F62" w:rsidP="005C7D38">
            <w:pPr>
              <w:jc w:val="center"/>
              <w:rPr>
                <w:b/>
                <w:bCs/>
                <w:sz w:val="18"/>
                <w:szCs w:val="18"/>
              </w:rPr>
            </w:pPr>
            <w:r w:rsidRPr="009548E1">
              <w:rPr>
                <w:b/>
                <w:bCs/>
                <w:sz w:val="18"/>
                <w:szCs w:val="18"/>
              </w:rPr>
              <w:t>UKUPNO</w:t>
            </w:r>
          </w:p>
        </w:tc>
        <w:tc>
          <w:tcPr>
            <w:tcW w:w="4678" w:type="dxa"/>
            <w:tcBorders>
              <w:top w:val="double" w:sz="6" w:space="0" w:color="auto"/>
              <w:left w:val="nil"/>
              <w:bottom w:val="double" w:sz="6" w:space="0" w:color="auto"/>
              <w:right w:val="double" w:sz="6" w:space="0" w:color="auto"/>
            </w:tcBorders>
            <w:shd w:val="clear" w:color="auto" w:fill="auto"/>
            <w:noWrap/>
            <w:vAlign w:val="center"/>
            <w:hideMark/>
          </w:tcPr>
          <w:p w14:paraId="780137C0" w14:textId="77777777" w:rsidR="00293F62" w:rsidRPr="009548E1" w:rsidRDefault="00293F62" w:rsidP="005C7D38">
            <w:pPr>
              <w:rPr>
                <w:b/>
                <w:bCs/>
                <w:sz w:val="18"/>
                <w:szCs w:val="18"/>
              </w:rPr>
            </w:pPr>
            <w:r w:rsidRPr="009548E1">
              <w:rPr>
                <w:b/>
                <w:bCs/>
                <w:sz w:val="18"/>
                <w:szCs w:val="18"/>
              </w:rPr>
              <w:t> </w:t>
            </w:r>
          </w:p>
        </w:tc>
        <w:tc>
          <w:tcPr>
            <w:tcW w:w="884" w:type="dxa"/>
            <w:tcBorders>
              <w:top w:val="double" w:sz="6" w:space="0" w:color="auto"/>
              <w:left w:val="nil"/>
              <w:bottom w:val="double" w:sz="6" w:space="0" w:color="auto"/>
              <w:right w:val="double" w:sz="6" w:space="0" w:color="auto"/>
            </w:tcBorders>
            <w:shd w:val="clear" w:color="auto" w:fill="auto"/>
            <w:noWrap/>
            <w:vAlign w:val="center"/>
            <w:hideMark/>
          </w:tcPr>
          <w:p w14:paraId="61C4B99C" w14:textId="77777777" w:rsidR="00293F62" w:rsidRPr="009548E1" w:rsidRDefault="00293F62" w:rsidP="005C7D38">
            <w:pPr>
              <w:jc w:val="center"/>
              <w:rPr>
                <w:b/>
                <w:bCs/>
                <w:sz w:val="18"/>
                <w:szCs w:val="18"/>
              </w:rPr>
            </w:pPr>
            <w:r w:rsidRPr="009548E1">
              <w:rPr>
                <w:b/>
                <w:bCs/>
                <w:sz w:val="18"/>
                <w:szCs w:val="18"/>
              </w:rPr>
              <w:t>CEB</w:t>
            </w:r>
          </w:p>
        </w:tc>
        <w:tc>
          <w:tcPr>
            <w:tcW w:w="910" w:type="dxa"/>
            <w:tcBorders>
              <w:top w:val="double" w:sz="6" w:space="0" w:color="auto"/>
              <w:left w:val="nil"/>
              <w:bottom w:val="double" w:sz="6" w:space="0" w:color="auto"/>
              <w:right w:val="double" w:sz="6" w:space="0" w:color="auto"/>
            </w:tcBorders>
            <w:shd w:val="clear" w:color="auto" w:fill="auto"/>
            <w:noWrap/>
            <w:vAlign w:val="center"/>
            <w:hideMark/>
          </w:tcPr>
          <w:p w14:paraId="53116F0F" w14:textId="77777777" w:rsidR="00293F62" w:rsidRPr="009548E1" w:rsidRDefault="00293F62" w:rsidP="005C7D38">
            <w:pPr>
              <w:jc w:val="center"/>
              <w:rPr>
                <w:b/>
                <w:bCs/>
                <w:sz w:val="18"/>
                <w:szCs w:val="18"/>
              </w:rPr>
            </w:pPr>
            <w:r w:rsidRPr="009548E1">
              <w:rPr>
                <w:b/>
                <w:bCs/>
                <w:sz w:val="18"/>
                <w:szCs w:val="18"/>
              </w:rPr>
              <w:t>EUR</w:t>
            </w:r>
          </w:p>
        </w:tc>
        <w:tc>
          <w:tcPr>
            <w:tcW w:w="1883" w:type="dxa"/>
            <w:tcBorders>
              <w:top w:val="double" w:sz="6" w:space="0" w:color="auto"/>
              <w:left w:val="nil"/>
              <w:bottom w:val="double" w:sz="6" w:space="0" w:color="auto"/>
              <w:right w:val="double" w:sz="6" w:space="0" w:color="auto"/>
            </w:tcBorders>
            <w:shd w:val="clear" w:color="auto" w:fill="auto"/>
            <w:noWrap/>
            <w:vAlign w:val="center"/>
            <w:hideMark/>
          </w:tcPr>
          <w:p w14:paraId="5EDE8709" w14:textId="77777777" w:rsidR="00293F62" w:rsidRPr="009548E1" w:rsidRDefault="00293F62" w:rsidP="005C7D38">
            <w:pPr>
              <w:jc w:val="right"/>
              <w:rPr>
                <w:b/>
                <w:bCs/>
                <w:sz w:val="18"/>
                <w:szCs w:val="18"/>
              </w:rPr>
            </w:pPr>
            <w:r w:rsidRPr="009548E1">
              <w:rPr>
                <w:b/>
                <w:bCs/>
                <w:sz w:val="18"/>
                <w:szCs w:val="18"/>
              </w:rPr>
              <w:t>250.490.496,70</w:t>
            </w:r>
          </w:p>
        </w:tc>
      </w:tr>
      <w:tr w:rsidR="00293F62" w:rsidRPr="009548E1" w14:paraId="7178EAE4" w14:textId="77777777" w:rsidTr="005C7D38">
        <w:trPr>
          <w:trHeight w:val="255"/>
          <w:jc w:val="right"/>
        </w:trPr>
        <w:tc>
          <w:tcPr>
            <w:tcW w:w="996" w:type="dxa"/>
            <w:tcBorders>
              <w:top w:val="nil"/>
              <w:left w:val="nil"/>
              <w:bottom w:val="single" w:sz="4" w:space="0" w:color="auto"/>
              <w:right w:val="nil"/>
            </w:tcBorders>
            <w:shd w:val="clear" w:color="auto" w:fill="auto"/>
            <w:noWrap/>
            <w:vAlign w:val="center"/>
            <w:hideMark/>
          </w:tcPr>
          <w:p w14:paraId="0DD1DFF2" w14:textId="77777777" w:rsidR="00293F62" w:rsidRPr="009548E1" w:rsidRDefault="00293F62" w:rsidP="005C7D38">
            <w:pPr>
              <w:jc w:val="center"/>
              <w:rPr>
                <w:color w:val="000000"/>
                <w:sz w:val="18"/>
                <w:szCs w:val="18"/>
              </w:rPr>
            </w:pPr>
            <w:r w:rsidRPr="009548E1">
              <w:rPr>
                <w:color w:val="000000"/>
                <w:sz w:val="18"/>
                <w:szCs w:val="18"/>
              </w:rPr>
              <w:t> </w:t>
            </w:r>
          </w:p>
        </w:tc>
        <w:tc>
          <w:tcPr>
            <w:tcW w:w="4678" w:type="dxa"/>
            <w:tcBorders>
              <w:top w:val="nil"/>
              <w:left w:val="nil"/>
              <w:bottom w:val="single" w:sz="4" w:space="0" w:color="auto"/>
              <w:right w:val="nil"/>
            </w:tcBorders>
            <w:shd w:val="clear" w:color="auto" w:fill="auto"/>
            <w:noWrap/>
            <w:vAlign w:val="center"/>
            <w:hideMark/>
          </w:tcPr>
          <w:p w14:paraId="4789016F" w14:textId="77777777" w:rsidR="00293F62" w:rsidRPr="009548E1" w:rsidRDefault="00293F62" w:rsidP="005C7D38">
            <w:pPr>
              <w:rPr>
                <w:color w:val="000000"/>
                <w:sz w:val="18"/>
                <w:szCs w:val="18"/>
              </w:rPr>
            </w:pPr>
            <w:r w:rsidRPr="009548E1">
              <w:rPr>
                <w:color w:val="000000"/>
                <w:sz w:val="18"/>
                <w:szCs w:val="18"/>
              </w:rPr>
              <w:t> </w:t>
            </w:r>
          </w:p>
        </w:tc>
        <w:tc>
          <w:tcPr>
            <w:tcW w:w="884" w:type="dxa"/>
            <w:tcBorders>
              <w:top w:val="nil"/>
              <w:left w:val="nil"/>
              <w:bottom w:val="single" w:sz="4" w:space="0" w:color="auto"/>
              <w:right w:val="nil"/>
            </w:tcBorders>
            <w:shd w:val="clear" w:color="auto" w:fill="auto"/>
            <w:noWrap/>
            <w:vAlign w:val="center"/>
            <w:hideMark/>
          </w:tcPr>
          <w:p w14:paraId="6E08D3D7" w14:textId="77777777" w:rsidR="00293F62" w:rsidRPr="009548E1" w:rsidRDefault="00293F62" w:rsidP="005C7D38">
            <w:pPr>
              <w:jc w:val="center"/>
              <w:rPr>
                <w:color w:val="000000"/>
                <w:sz w:val="18"/>
                <w:szCs w:val="18"/>
              </w:rPr>
            </w:pPr>
            <w:r w:rsidRPr="009548E1">
              <w:rPr>
                <w:color w:val="000000"/>
                <w:sz w:val="18"/>
                <w:szCs w:val="18"/>
              </w:rPr>
              <w:t> </w:t>
            </w:r>
          </w:p>
        </w:tc>
        <w:tc>
          <w:tcPr>
            <w:tcW w:w="910" w:type="dxa"/>
            <w:tcBorders>
              <w:top w:val="nil"/>
              <w:left w:val="nil"/>
              <w:bottom w:val="single" w:sz="4" w:space="0" w:color="auto"/>
              <w:right w:val="nil"/>
            </w:tcBorders>
            <w:shd w:val="clear" w:color="auto" w:fill="auto"/>
            <w:noWrap/>
            <w:vAlign w:val="center"/>
            <w:hideMark/>
          </w:tcPr>
          <w:p w14:paraId="63B3DB1C" w14:textId="77777777" w:rsidR="00293F62" w:rsidRPr="009548E1" w:rsidRDefault="00293F62" w:rsidP="005C7D38">
            <w:pPr>
              <w:jc w:val="center"/>
              <w:rPr>
                <w:color w:val="000000"/>
                <w:sz w:val="18"/>
                <w:szCs w:val="18"/>
              </w:rPr>
            </w:pPr>
            <w:r w:rsidRPr="009548E1">
              <w:rPr>
                <w:color w:val="000000"/>
                <w:sz w:val="18"/>
                <w:szCs w:val="18"/>
              </w:rPr>
              <w:t> </w:t>
            </w:r>
          </w:p>
        </w:tc>
        <w:tc>
          <w:tcPr>
            <w:tcW w:w="1883" w:type="dxa"/>
            <w:tcBorders>
              <w:top w:val="nil"/>
              <w:left w:val="nil"/>
              <w:bottom w:val="single" w:sz="4" w:space="0" w:color="auto"/>
              <w:right w:val="nil"/>
            </w:tcBorders>
            <w:shd w:val="clear" w:color="auto" w:fill="auto"/>
            <w:noWrap/>
            <w:vAlign w:val="center"/>
            <w:hideMark/>
          </w:tcPr>
          <w:p w14:paraId="05E9B2B1" w14:textId="77777777" w:rsidR="00293F62" w:rsidRPr="009548E1" w:rsidRDefault="00293F62" w:rsidP="005C7D38">
            <w:pPr>
              <w:jc w:val="right"/>
              <w:rPr>
                <w:color w:val="000000"/>
                <w:sz w:val="18"/>
                <w:szCs w:val="18"/>
              </w:rPr>
            </w:pPr>
            <w:r w:rsidRPr="009548E1">
              <w:rPr>
                <w:color w:val="000000"/>
                <w:sz w:val="18"/>
                <w:szCs w:val="18"/>
              </w:rPr>
              <w:t> </w:t>
            </w:r>
          </w:p>
        </w:tc>
      </w:tr>
      <w:tr w:rsidR="00293F62" w:rsidRPr="009548E1" w14:paraId="176A1CB9" w14:textId="77777777" w:rsidTr="005C7D38">
        <w:trPr>
          <w:trHeight w:val="48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6D82EAE" w14:textId="77777777" w:rsidR="00293F62" w:rsidRPr="009548E1" w:rsidRDefault="00293F62" w:rsidP="005C7D38">
            <w:pPr>
              <w:jc w:val="center"/>
              <w:rPr>
                <w:sz w:val="18"/>
                <w:szCs w:val="18"/>
              </w:rPr>
            </w:pPr>
            <w:r w:rsidRPr="009548E1">
              <w:rPr>
                <w:sz w:val="18"/>
                <w:szCs w:val="18"/>
              </w:rPr>
              <w:t>23.</w:t>
            </w:r>
          </w:p>
        </w:tc>
        <w:tc>
          <w:tcPr>
            <w:tcW w:w="4678" w:type="dxa"/>
            <w:tcBorders>
              <w:top w:val="nil"/>
              <w:left w:val="nil"/>
              <w:bottom w:val="single" w:sz="4" w:space="0" w:color="auto"/>
              <w:right w:val="single" w:sz="4" w:space="0" w:color="auto"/>
            </w:tcBorders>
            <w:shd w:val="clear" w:color="auto" w:fill="auto"/>
            <w:vAlign w:val="center"/>
            <w:hideMark/>
          </w:tcPr>
          <w:p w14:paraId="6E839ACE" w14:textId="77777777" w:rsidR="00293F62" w:rsidRPr="009548E1" w:rsidRDefault="00293F62" w:rsidP="005C7D38">
            <w:pPr>
              <w:rPr>
                <w:color w:val="000000"/>
                <w:sz w:val="18"/>
                <w:szCs w:val="18"/>
              </w:rPr>
            </w:pPr>
            <w:r w:rsidRPr="009548E1">
              <w:rPr>
                <w:color w:val="000000"/>
                <w:sz w:val="18"/>
                <w:szCs w:val="18"/>
              </w:rPr>
              <w:t>75980-HR IFL FS - Projekt unapređenja hitne medicinske pomoći i investicijskog planiranja u zdravstvu</w:t>
            </w:r>
          </w:p>
        </w:tc>
        <w:tc>
          <w:tcPr>
            <w:tcW w:w="884" w:type="dxa"/>
            <w:tcBorders>
              <w:top w:val="nil"/>
              <w:left w:val="nil"/>
              <w:bottom w:val="single" w:sz="4" w:space="0" w:color="auto"/>
              <w:right w:val="single" w:sz="4" w:space="0" w:color="auto"/>
            </w:tcBorders>
            <w:shd w:val="clear" w:color="auto" w:fill="auto"/>
            <w:noWrap/>
            <w:vAlign w:val="center"/>
            <w:hideMark/>
          </w:tcPr>
          <w:p w14:paraId="49D6C99F" w14:textId="77777777" w:rsidR="00293F62" w:rsidRPr="009548E1" w:rsidRDefault="00293F62" w:rsidP="005C7D38">
            <w:pPr>
              <w:jc w:val="center"/>
              <w:rPr>
                <w:color w:val="000000"/>
                <w:sz w:val="18"/>
                <w:szCs w:val="18"/>
              </w:rPr>
            </w:pPr>
            <w:r w:rsidRPr="009548E1">
              <w:rPr>
                <w:color w:val="000000"/>
                <w:sz w:val="18"/>
                <w:szCs w:val="18"/>
              </w:rPr>
              <w:t>IBRD</w:t>
            </w:r>
          </w:p>
        </w:tc>
        <w:tc>
          <w:tcPr>
            <w:tcW w:w="910" w:type="dxa"/>
            <w:tcBorders>
              <w:top w:val="nil"/>
              <w:left w:val="nil"/>
              <w:bottom w:val="single" w:sz="4" w:space="0" w:color="auto"/>
              <w:right w:val="single" w:sz="4" w:space="0" w:color="auto"/>
            </w:tcBorders>
            <w:shd w:val="clear" w:color="auto" w:fill="auto"/>
            <w:noWrap/>
            <w:vAlign w:val="center"/>
            <w:hideMark/>
          </w:tcPr>
          <w:p w14:paraId="5001AB1B"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6B0E1C8C" w14:textId="77777777" w:rsidR="00293F62" w:rsidRPr="009548E1" w:rsidRDefault="00293F62" w:rsidP="005C7D38">
            <w:pPr>
              <w:jc w:val="right"/>
              <w:rPr>
                <w:color w:val="000000"/>
                <w:sz w:val="18"/>
                <w:szCs w:val="18"/>
              </w:rPr>
            </w:pPr>
            <w:r w:rsidRPr="009548E1">
              <w:rPr>
                <w:color w:val="000000"/>
                <w:sz w:val="18"/>
                <w:szCs w:val="18"/>
              </w:rPr>
              <w:t>9.887.626,73</w:t>
            </w:r>
          </w:p>
        </w:tc>
      </w:tr>
      <w:tr w:rsidR="00293F62" w:rsidRPr="009548E1" w14:paraId="2F748667" w14:textId="77777777" w:rsidTr="005C7D38">
        <w:trPr>
          <w:trHeight w:val="48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CDCB468" w14:textId="77777777" w:rsidR="00293F62" w:rsidRPr="009548E1" w:rsidRDefault="00293F62" w:rsidP="005C7D38">
            <w:pPr>
              <w:jc w:val="center"/>
              <w:rPr>
                <w:sz w:val="18"/>
                <w:szCs w:val="18"/>
              </w:rPr>
            </w:pPr>
            <w:r w:rsidRPr="009548E1">
              <w:rPr>
                <w:sz w:val="18"/>
                <w:szCs w:val="18"/>
              </w:rPr>
              <w:t>24.</w:t>
            </w:r>
          </w:p>
        </w:tc>
        <w:tc>
          <w:tcPr>
            <w:tcW w:w="4678" w:type="dxa"/>
            <w:tcBorders>
              <w:top w:val="nil"/>
              <w:left w:val="nil"/>
              <w:bottom w:val="single" w:sz="4" w:space="0" w:color="auto"/>
              <w:right w:val="single" w:sz="4" w:space="0" w:color="auto"/>
            </w:tcBorders>
            <w:shd w:val="clear" w:color="auto" w:fill="auto"/>
            <w:vAlign w:val="center"/>
            <w:hideMark/>
          </w:tcPr>
          <w:p w14:paraId="1A01D366" w14:textId="77777777" w:rsidR="00293F62" w:rsidRPr="009548E1" w:rsidRDefault="00293F62" w:rsidP="005C7D38">
            <w:pPr>
              <w:rPr>
                <w:color w:val="000000"/>
                <w:sz w:val="18"/>
                <w:szCs w:val="18"/>
              </w:rPr>
            </w:pPr>
            <w:r w:rsidRPr="009548E1">
              <w:rPr>
                <w:color w:val="000000"/>
                <w:sz w:val="18"/>
                <w:szCs w:val="18"/>
              </w:rPr>
              <w:t>76400-HR IFL FS - Projekt zaštite od onečišćenja voda na priobalnom području 2</w:t>
            </w:r>
          </w:p>
        </w:tc>
        <w:tc>
          <w:tcPr>
            <w:tcW w:w="884" w:type="dxa"/>
            <w:tcBorders>
              <w:top w:val="nil"/>
              <w:left w:val="nil"/>
              <w:bottom w:val="single" w:sz="4" w:space="0" w:color="auto"/>
              <w:right w:val="single" w:sz="4" w:space="0" w:color="auto"/>
            </w:tcBorders>
            <w:shd w:val="clear" w:color="auto" w:fill="auto"/>
            <w:noWrap/>
            <w:vAlign w:val="center"/>
            <w:hideMark/>
          </w:tcPr>
          <w:p w14:paraId="5317ACD2" w14:textId="77777777" w:rsidR="00293F62" w:rsidRPr="009548E1" w:rsidRDefault="00293F62" w:rsidP="005C7D38">
            <w:pPr>
              <w:jc w:val="center"/>
              <w:rPr>
                <w:color w:val="000000"/>
                <w:sz w:val="18"/>
                <w:szCs w:val="18"/>
              </w:rPr>
            </w:pPr>
            <w:r w:rsidRPr="009548E1">
              <w:rPr>
                <w:color w:val="000000"/>
                <w:sz w:val="18"/>
                <w:szCs w:val="18"/>
              </w:rPr>
              <w:t>IBRD</w:t>
            </w:r>
          </w:p>
        </w:tc>
        <w:tc>
          <w:tcPr>
            <w:tcW w:w="910" w:type="dxa"/>
            <w:tcBorders>
              <w:top w:val="nil"/>
              <w:left w:val="nil"/>
              <w:bottom w:val="single" w:sz="4" w:space="0" w:color="auto"/>
              <w:right w:val="single" w:sz="4" w:space="0" w:color="auto"/>
            </w:tcBorders>
            <w:shd w:val="clear" w:color="auto" w:fill="auto"/>
            <w:noWrap/>
            <w:vAlign w:val="center"/>
            <w:hideMark/>
          </w:tcPr>
          <w:p w14:paraId="4E4DDA0B"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1BB2A51A" w14:textId="77777777" w:rsidR="00293F62" w:rsidRPr="009548E1" w:rsidRDefault="00293F62" w:rsidP="005C7D38">
            <w:pPr>
              <w:jc w:val="right"/>
              <w:rPr>
                <w:color w:val="000000"/>
                <w:sz w:val="18"/>
                <w:szCs w:val="18"/>
              </w:rPr>
            </w:pPr>
            <w:r w:rsidRPr="009548E1">
              <w:rPr>
                <w:color w:val="000000"/>
                <w:sz w:val="18"/>
                <w:szCs w:val="18"/>
              </w:rPr>
              <w:t>0,00</w:t>
            </w:r>
          </w:p>
        </w:tc>
      </w:tr>
      <w:tr w:rsidR="00293F62" w:rsidRPr="009548E1" w14:paraId="1D10F909" w14:textId="77777777" w:rsidTr="005C7D38">
        <w:trPr>
          <w:trHeight w:val="48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454DA7D" w14:textId="77777777" w:rsidR="00293F62" w:rsidRPr="009548E1" w:rsidRDefault="00293F62" w:rsidP="005C7D38">
            <w:pPr>
              <w:jc w:val="center"/>
              <w:rPr>
                <w:sz w:val="18"/>
                <w:szCs w:val="18"/>
              </w:rPr>
            </w:pPr>
            <w:r w:rsidRPr="009548E1">
              <w:rPr>
                <w:sz w:val="18"/>
                <w:szCs w:val="18"/>
              </w:rPr>
              <w:t>25.</w:t>
            </w:r>
          </w:p>
        </w:tc>
        <w:tc>
          <w:tcPr>
            <w:tcW w:w="4678" w:type="dxa"/>
            <w:tcBorders>
              <w:top w:val="nil"/>
              <w:left w:val="nil"/>
              <w:bottom w:val="single" w:sz="4" w:space="0" w:color="auto"/>
              <w:right w:val="single" w:sz="4" w:space="0" w:color="auto"/>
            </w:tcBorders>
            <w:shd w:val="clear" w:color="auto" w:fill="auto"/>
            <w:vAlign w:val="center"/>
            <w:hideMark/>
          </w:tcPr>
          <w:p w14:paraId="664EA24F" w14:textId="77777777" w:rsidR="00293F62" w:rsidRPr="009548E1" w:rsidRDefault="00293F62" w:rsidP="005C7D38">
            <w:pPr>
              <w:rPr>
                <w:color w:val="000000"/>
                <w:sz w:val="18"/>
                <w:szCs w:val="18"/>
              </w:rPr>
            </w:pPr>
            <w:r w:rsidRPr="009548E1">
              <w:rPr>
                <w:color w:val="000000"/>
                <w:sz w:val="18"/>
                <w:szCs w:val="18"/>
              </w:rPr>
              <w:t>78460-HR IFL FS DPL - Zajam za razvojnu politiku u fiskalnom, socijalnom i financijskom sektoru</w:t>
            </w:r>
          </w:p>
        </w:tc>
        <w:tc>
          <w:tcPr>
            <w:tcW w:w="884" w:type="dxa"/>
            <w:tcBorders>
              <w:top w:val="nil"/>
              <w:left w:val="nil"/>
              <w:bottom w:val="single" w:sz="4" w:space="0" w:color="auto"/>
              <w:right w:val="single" w:sz="4" w:space="0" w:color="auto"/>
            </w:tcBorders>
            <w:shd w:val="clear" w:color="auto" w:fill="auto"/>
            <w:noWrap/>
            <w:vAlign w:val="center"/>
            <w:hideMark/>
          </w:tcPr>
          <w:p w14:paraId="71B593AD" w14:textId="77777777" w:rsidR="00293F62" w:rsidRPr="009548E1" w:rsidRDefault="00293F62" w:rsidP="005C7D38">
            <w:pPr>
              <w:jc w:val="center"/>
              <w:rPr>
                <w:color w:val="000000"/>
                <w:sz w:val="18"/>
                <w:szCs w:val="18"/>
              </w:rPr>
            </w:pPr>
            <w:r w:rsidRPr="009548E1">
              <w:rPr>
                <w:color w:val="000000"/>
                <w:sz w:val="18"/>
                <w:szCs w:val="18"/>
              </w:rPr>
              <w:t>IBRD</w:t>
            </w:r>
          </w:p>
        </w:tc>
        <w:tc>
          <w:tcPr>
            <w:tcW w:w="910" w:type="dxa"/>
            <w:tcBorders>
              <w:top w:val="nil"/>
              <w:left w:val="nil"/>
              <w:bottom w:val="single" w:sz="4" w:space="0" w:color="auto"/>
              <w:right w:val="single" w:sz="4" w:space="0" w:color="auto"/>
            </w:tcBorders>
            <w:shd w:val="clear" w:color="auto" w:fill="auto"/>
            <w:noWrap/>
            <w:vAlign w:val="center"/>
            <w:hideMark/>
          </w:tcPr>
          <w:p w14:paraId="5DEF5207"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412AABE3" w14:textId="77777777" w:rsidR="00293F62" w:rsidRPr="009548E1" w:rsidRDefault="00293F62" w:rsidP="005C7D38">
            <w:pPr>
              <w:jc w:val="right"/>
              <w:rPr>
                <w:color w:val="000000"/>
                <w:sz w:val="18"/>
                <w:szCs w:val="18"/>
              </w:rPr>
            </w:pPr>
            <w:r w:rsidRPr="009548E1">
              <w:rPr>
                <w:color w:val="000000"/>
                <w:sz w:val="18"/>
                <w:szCs w:val="18"/>
              </w:rPr>
              <w:t>200.000.000,00</w:t>
            </w:r>
          </w:p>
        </w:tc>
      </w:tr>
      <w:tr w:rsidR="00293F62" w:rsidRPr="009548E1" w14:paraId="2A325C0F" w14:textId="77777777" w:rsidTr="005C7D38">
        <w:trPr>
          <w:trHeight w:val="30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F2E9261" w14:textId="77777777" w:rsidR="00293F62" w:rsidRPr="009548E1" w:rsidRDefault="00293F62" w:rsidP="005C7D38">
            <w:pPr>
              <w:jc w:val="center"/>
              <w:rPr>
                <w:sz w:val="18"/>
                <w:szCs w:val="18"/>
              </w:rPr>
            </w:pPr>
            <w:r w:rsidRPr="009548E1">
              <w:rPr>
                <w:sz w:val="18"/>
                <w:szCs w:val="18"/>
              </w:rPr>
              <w:t>26.</w:t>
            </w:r>
          </w:p>
        </w:tc>
        <w:tc>
          <w:tcPr>
            <w:tcW w:w="4678" w:type="dxa"/>
            <w:tcBorders>
              <w:top w:val="nil"/>
              <w:left w:val="nil"/>
              <w:bottom w:val="single" w:sz="4" w:space="0" w:color="auto"/>
              <w:right w:val="single" w:sz="4" w:space="0" w:color="auto"/>
            </w:tcBorders>
            <w:shd w:val="clear" w:color="auto" w:fill="auto"/>
            <w:vAlign w:val="center"/>
            <w:hideMark/>
          </w:tcPr>
          <w:p w14:paraId="28B2715A" w14:textId="77777777" w:rsidR="00293F62" w:rsidRPr="009548E1" w:rsidRDefault="00293F62" w:rsidP="005C7D38">
            <w:pPr>
              <w:rPr>
                <w:color w:val="000000"/>
                <w:sz w:val="18"/>
                <w:szCs w:val="18"/>
              </w:rPr>
            </w:pPr>
            <w:r w:rsidRPr="009548E1">
              <w:rPr>
                <w:color w:val="000000"/>
                <w:sz w:val="18"/>
                <w:szCs w:val="18"/>
              </w:rPr>
              <w:t>78880-HR IFL FS - Projekt potpore pravosudnom sektoru</w:t>
            </w:r>
          </w:p>
        </w:tc>
        <w:tc>
          <w:tcPr>
            <w:tcW w:w="884" w:type="dxa"/>
            <w:tcBorders>
              <w:top w:val="nil"/>
              <w:left w:val="nil"/>
              <w:bottom w:val="single" w:sz="4" w:space="0" w:color="auto"/>
              <w:right w:val="single" w:sz="4" w:space="0" w:color="auto"/>
            </w:tcBorders>
            <w:shd w:val="clear" w:color="auto" w:fill="auto"/>
            <w:noWrap/>
            <w:vAlign w:val="center"/>
            <w:hideMark/>
          </w:tcPr>
          <w:p w14:paraId="60B34290" w14:textId="77777777" w:rsidR="00293F62" w:rsidRPr="009548E1" w:rsidRDefault="00293F62" w:rsidP="005C7D38">
            <w:pPr>
              <w:jc w:val="center"/>
              <w:rPr>
                <w:color w:val="000000"/>
                <w:sz w:val="18"/>
                <w:szCs w:val="18"/>
              </w:rPr>
            </w:pPr>
            <w:r w:rsidRPr="009548E1">
              <w:rPr>
                <w:color w:val="000000"/>
                <w:sz w:val="18"/>
                <w:szCs w:val="18"/>
              </w:rPr>
              <w:t>IBRD</w:t>
            </w:r>
          </w:p>
        </w:tc>
        <w:tc>
          <w:tcPr>
            <w:tcW w:w="910" w:type="dxa"/>
            <w:tcBorders>
              <w:top w:val="nil"/>
              <w:left w:val="nil"/>
              <w:bottom w:val="single" w:sz="4" w:space="0" w:color="auto"/>
              <w:right w:val="single" w:sz="4" w:space="0" w:color="auto"/>
            </w:tcBorders>
            <w:shd w:val="clear" w:color="auto" w:fill="auto"/>
            <w:noWrap/>
            <w:vAlign w:val="center"/>
            <w:hideMark/>
          </w:tcPr>
          <w:p w14:paraId="580D8958"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1A5AD88D" w14:textId="77777777" w:rsidR="00293F62" w:rsidRPr="009548E1" w:rsidRDefault="00293F62" w:rsidP="005C7D38">
            <w:pPr>
              <w:jc w:val="right"/>
              <w:rPr>
                <w:color w:val="000000"/>
                <w:sz w:val="18"/>
                <w:szCs w:val="18"/>
              </w:rPr>
            </w:pPr>
            <w:r w:rsidRPr="009548E1">
              <w:rPr>
                <w:color w:val="000000"/>
                <w:sz w:val="18"/>
                <w:szCs w:val="18"/>
              </w:rPr>
              <w:t>16.702.650,32</w:t>
            </w:r>
          </w:p>
        </w:tc>
      </w:tr>
      <w:tr w:rsidR="00293F62" w:rsidRPr="009548E1" w14:paraId="35AAD564" w14:textId="77777777" w:rsidTr="005C7D38">
        <w:trPr>
          <w:trHeight w:val="30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902862F" w14:textId="77777777" w:rsidR="00293F62" w:rsidRPr="009548E1" w:rsidRDefault="00293F62" w:rsidP="005C7D38">
            <w:pPr>
              <w:jc w:val="center"/>
              <w:rPr>
                <w:sz w:val="18"/>
                <w:szCs w:val="18"/>
              </w:rPr>
            </w:pPr>
            <w:r w:rsidRPr="009548E1">
              <w:rPr>
                <w:sz w:val="18"/>
                <w:szCs w:val="18"/>
              </w:rPr>
              <w:t>27.</w:t>
            </w:r>
          </w:p>
        </w:tc>
        <w:tc>
          <w:tcPr>
            <w:tcW w:w="4678" w:type="dxa"/>
            <w:tcBorders>
              <w:top w:val="nil"/>
              <w:left w:val="nil"/>
              <w:bottom w:val="single" w:sz="4" w:space="0" w:color="auto"/>
              <w:right w:val="single" w:sz="4" w:space="0" w:color="auto"/>
            </w:tcBorders>
            <w:shd w:val="clear" w:color="auto" w:fill="auto"/>
            <w:vAlign w:val="center"/>
            <w:hideMark/>
          </w:tcPr>
          <w:p w14:paraId="20E2B801" w14:textId="77777777" w:rsidR="00293F62" w:rsidRPr="009548E1" w:rsidRDefault="00293F62" w:rsidP="005C7D38">
            <w:pPr>
              <w:rPr>
                <w:sz w:val="18"/>
                <w:szCs w:val="18"/>
              </w:rPr>
            </w:pPr>
            <w:r w:rsidRPr="009548E1">
              <w:rPr>
                <w:sz w:val="18"/>
                <w:szCs w:val="18"/>
              </w:rPr>
              <w:t>80210-HR IFL FS - Projekt integracije u EU Natura 2000</w:t>
            </w:r>
          </w:p>
        </w:tc>
        <w:tc>
          <w:tcPr>
            <w:tcW w:w="884" w:type="dxa"/>
            <w:tcBorders>
              <w:top w:val="nil"/>
              <w:left w:val="nil"/>
              <w:bottom w:val="single" w:sz="4" w:space="0" w:color="auto"/>
              <w:right w:val="single" w:sz="4" w:space="0" w:color="auto"/>
            </w:tcBorders>
            <w:shd w:val="clear" w:color="auto" w:fill="auto"/>
            <w:noWrap/>
            <w:vAlign w:val="center"/>
            <w:hideMark/>
          </w:tcPr>
          <w:p w14:paraId="34B9CCAA" w14:textId="77777777" w:rsidR="00293F62" w:rsidRPr="009548E1" w:rsidRDefault="00293F62" w:rsidP="005C7D38">
            <w:pPr>
              <w:jc w:val="center"/>
              <w:rPr>
                <w:color w:val="000000"/>
                <w:sz w:val="18"/>
                <w:szCs w:val="18"/>
              </w:rPr>
            </w:pPr>
            <w:r w:rsidRPr="009548E1">
              <w:rPr>
                <w:color w:val="000000"/>
                <w:sz w:val="18"/>
                <w:szCs w:val="18"/>
              </w:rPr>
              <w:t>IBRD</w:t>
            </w:r>
          </w:p>
        </w:tc>
        <w:tc>
          <w:tcPr>
            <w:tcW w:w="910" w:type="dxa"/>
            <w:tcBorders>
              <w:top w:val="nil"/>
              <w:left w:val="nil"/>
              <w:bottom w:val="single" w:sz="4" w:space="0" w:color="auto"/>
              <w:right w:val="single" w:sz="4" w:space="0" w:color="auto"/>
            </w:tcBorders>
            <w:shd w:val="clear" w:color="auto" w:fill="auto"/>
            <w:noWrap/>
            <w:vAlign w:val="center"/>
            <w:hideMark/>
          </w:tcPr>
          <w:p w14:paraId="56ED687A"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6CCDFE8A" w14:textId="77777777" w:rsidR="00293F62" w:rsidRPr="009548E1" w:rsidRDefault="00293F62" w:rsidP="005C7D38">
            <w:pPr>
              <w:jc w:val="right"/>
              <w:rPr>
                <w:color w:val="000000"/>
                <w:sz w:val="18"/>
                <w:szCs w:val="18"/>
              </w:rPr>
            </w:pPr>
            <w:r w:rsidRPr="009548E1">
              <w:rPr>
                <w:color w:val="000000"/>
                <w:sz w:val="18"/>
                <w:szCs w:val="18"/>
              </w:rPr>
              <w:t>9.821.308,28</w:t>
            </w:r>
          </w:p>
        </w:tc>
      </w:tr>
      <w:tr w:rsidR="00293F62" w:rsidRPr="009548E1" w14:paraId="4FA3EB12" w14:textId="77777777" w:rsidTr="005C7D38">
        <w:trPr>
          <w:trHeight w:val="48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5C92E79" w14:textId="77777777" w:rsidR="00293F62" w:rsidRPr="009548E1" w:rsidRDefault="00293F62" w:rsidP="005C7D38">
            <w:pPr>
              <w:jc w:val="center"/>
              <w:rPr>
                <w:sz w:val="18"/>
                <w:szCs w:val="18"/>
              </w:rPr>
            </w:pPr>
            <w:r w:rsidRPr="009548E1">
              <w:rPr>
                <w:sz w:val="18"/>
                <w:szCs w:val="18"/>
              </w:rPr>
              <w:t>28.</w:t>
            </w:r>
          </w:p>
        </w:tc>
        <w:tc>
          <w:tcPr>
            <w:tcW w:w="4678" w:type="dxa"/>
            <w:tcBorders>
              <w:top w:val="nil"/>
              <w:left w:val="nil"/>
              <w:bottom w:val="single" w:sz="4" w:space="0" w:color="auto"/>
              <w:right w:val="single" w:sz="4" w:space="0" w:color="auto"/>
            </w:tcBorders>
            <w:shd w:val="clear" w:color="auto" w:fill="auto"/>
            <w:vAlign w:val="center"/>
            <w:hideMark/>
          </w:tcPr>
          <w:p w14:paraId="4208CD4C" w14:textId="77777777" w:rsidR="00293F62" w:rsidRPr="009548E1" w:rsidRDefault="00293F62" w:rsidP="005C7D38">
            <w:pPr>
              <w:rPr>
                <w:color w:val="000000"/>
                <w:sz w:val="18"/>
                <w:szCs w:val="18"/>
              </w:rPr>
            </w:pPr>
            <w:r w:rsidRPr="009548E1">
              <w:rPr>
                <w:color w:val="000000"/>
                <w:sz w:val="18"/>
                <w:szCs w:val="18"/>
              </w:rPr>
              <w:t>80630-HR IFL FS ERDPL - Zajam za razvojnu politiku gospodarskog oporavka</w:t>
            </w:r>
          </w:p>
        </w:tc>
        <w:tc>
          <w:tcPr>
            <w:tcW w:w="884" w:type="dxa"/>
            <w:tcBorders>
              <w:top w:val="nil"/>
              <w:left w:val="nil"/>
              <w:bottom w:val="single" w:sz="4" w:space="0" w:color="auto"/>
              <w:right w:val="single" w:sz="4" w:space="0" w:color="auto"/>
            </w:tcBorders>
            <w:shd w:val="clear" w:color="auto" w:fill="auto"/>
            <w:noWrap/>
            <w:vAlign w:val="center"/>
            <w:hideMark/>
          </w:tcPr>
          <w:p w14:paraId="66B8A177" w14:textId="77777777" w:rsidR="00293F62" w:rsidRPr="009548E1" w:rsidRDefault="00293F62" w:rsidP="005C7D38">
            <w:pPr>
              <w:jc w:val="center"/>
              <w:rPr>
                <w:color w:val="000000"/>
                <w:sz w:val="18"/>
                <w:szCs w:val="18"/>
              </w:rPr>
            </w:pPr>
            <w:r w:rsidRPr="009548E1">
              <w:rPr>
                <w:color w:val="000000"/>
                <w:sz w:val="18"/>
                <w:szCs w:val="18"/>
              </w:rPr>
              <w:t>IBRD</w:t>
            </w:r>
          </w:p>
        </w:tc>
        <w:tc>
          <w:tcPr>
            <w:tcW w:w="910" w:type="dxa"/>
            <w:tcBorders>
              <w:top w:val="nil"/>
              <w:left w:val="nil"/>
              <w:bottom w:val="single" w:sz="4" w:space="0" w:color="auto"/>
              <w:right w:val="single" w:sz="4" w:space="0" w:color="auto"/>
            </w:tcBorders>
            <w:shd w:val="clear" w:color="auto" w:fill="auto"/>
            <w:noWrap/>
            <w:vAlign w:val="center"/>
            <w:hideMark/>
          </w:tcPr>
          <w:p w14:paraId="54174FA9"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1D57E2C9" w14:textId="77777777" w:rsidR="00293F62" w:rsidRPr="009548E1" w:rsidRDefault="00293F62" w:rsidP="005C7D38">
            <w:pPr>
              <w:jc w:val="right"/>
              <w:rPr>
                <w:color w:val="000000"/>
                <w:sz w:val="18"/>
                <w:szCs w:val="18"/>
              </w:rPr>
            </w:pPr>
            <w:r w:rsidRPr="009548E1">
              <w:rPr>
                <w:color w:val="000000"/>
                <w:sz w:val="18"/>
                <w:szCs w:val="18"/>
              </w:rPr>
              <w:t>150.000.000,00</w:t>
            </w:r>
          </w:p>
        </w:tc>
      </w:tr>
      <w:tr w:rsidR="00293F62" w:rsidRPr="009548E1" w14:paraId="126D0DB7" w14:textId="77777777" w:rsidTr="005C7D38">
        <w:trPr>
          <w:trHeight w:val="48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E7DF844" w14:textId="77777777" w:rsidR="00293F62" w:rsidRPr="009548E1" w:rsidRDefault="00293F62" w:rsidP="005C7D38">
            <w:pPr>
              <w:jc w:val="center"/>
              <w:rPr>
                <w:sz w:val="18"/>
                <w:szCs w:val="18"/>
              </w:rPr>
            </w:pPr>
            <w:r w:rsidRPr="009548E1">
              <w:rPr>
                <w:sz w:val="18"/>
                <w:szCs w:val="18"/>
              </w:rPr>
              <w:t>29.</w:t>
            </w:r>
          </w:p>
        </w:tc>
        <w:tc>
          <w:tcPr>
            <w:tcW w:w="4678" w:type="dxa"/>
            <w:tcBorders>
              <w:top w:val="nil"/>
              <w:left w:val="nil"/>
              <w:bottom w:val="single" w:sz="4" w:space="0" w:color="auto"/>
              <w:right w:val="single" w:sz="4" w:space="0" w:color="auto"/>
            </w:tcBorders>
            <w:shd w:val="clear" w:color="auto" w:fill="auto"/>
            <w:vAlign w:val="center"/>
            <w:hideMark/>
          </w:tcPr>
          <w:p w14:paraId="21AA23AB" w14:textId="77777777" w:rsidR="00293F62" w:rsidRPr="009548E1" w:rsidRDefault="00293F62" w:rsidP="005C7D38">
            <w:pPr>
              <w:rPr>
                <w:color w:val="000000"/>
                <w:sz w:val="18"/>
                <w:szCs w:val="18"/>
              </w:rPr>
            </w:pPr>
            <w:r w:rsidRPr="009548E1">
              <w:rPr>
                <w:color w:val="000000"/>
                <w:sz w:val="18"/>
                <w:szCs w:val="18"/>
              </w:rPr>
              <w:t>80860-HR IFL FS - Projekt implementacije integriranog sustava zemljišne administracije</w:t>
            </w:r>
          </w:p>
        </w:tc>
        <w:tc>
          <w:tcPr>
            <w:tcW w:w="884" w:type="dxa"/>
            <w:tcBorders>
              <w:top w:val="nil"/>
              <w:left w:val="nil"/>
              <w:bottom w:val="single" w:sz="4" w:space="0" w:color="auto"/>
              <w:right w:val="single" w:sz="4" w:space="0" w:color="auto"/>
            </w:tcBorders>
            <w:shd w:val="clear" w:color="auto" w:fill="auto"/>
            <w:noWrap/>
            <w:vAlign w:val="center"/>
            <w:hideMark/>
          </w:tcPr>
          <w:p w14:paraId="17271E3B" w14:textId="77777777" w:rsidR="00293F62" w:rsidRPr="009548E1" w:rsidRDefault="00293F62" w:rsidP="005C7D38">
            <w:pPr>
              <w:jc w:val="center"/>
              <w:rPr>
                <w:color w:val="000000"/>
                <w:sz w:val="18"/>
                <w:szCs w:val="18"/>
              </w:rPr>
            </w:pPr>
            <w:r w:rsidRPr="009548E1">
              <w:rPr>
                <w:color w:val="000000"/>
                <w:sz w:val="18"/>
                <w:szCs w:val="18"/>
              </w:rPr>
              <w:t>IBRD</w:t>
            </w:r>
          </w:p>
        </w:tc>
        <w:tc>
          <w:tcPr>
            <w:tcW w:w="910" w:type="dxa"/>
            <w:tcBorders>
              <w:top w:val="nil"/>
              <w:left w:val="nil"/>
              <w:bottom w:val="single" w:sz="4" w:space="0" w:color="auto"/>
              <w:right w:val="single" w:sz="4" w:space="0" w:color="auto"/>
            </w:tcBorders>
            <w:shd w:val="clear" w:color="auto" w:fill="auto"/>
            <w:noWrap/>
            <w:vAlign w:val="center"/>
            <w:hideMark/>
          </w:tcPr>
          <w:p w14:paraId="52BF7F5F"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1786335C" w14:textId="77777777" w:rsidR="00293F62" w:rsidRPr="009548E1" w:rsidRDefault="00293F62" w:rsidP="005C7D38">
            <w:pPr>
              <w:jc w:val="right"/>
              <w:rPr>
                <w:color w:val="000000"/>
                <w:sz w:val="18"/>
                <w:szCs w:val="18"/>
              </w:rPr>
            </w:pPr>
            <w:r w:rsidRPr="009548E1">
              <w:rPr>
                <w:color w:val="000000"/>
                <w:sz w:val="18"/>
                <w:szCs w:val="18"/>
              </w:rPr>
              <w:t>8.134.390,93</w:t>
            </w:r>
          </w:p>
        </w:tc>
      </w:tr>
      <w:tr w:rsidR="00293F62" w:rsidRPr="009548E1" w14:paraId="55BF9E04" w14:textId="77777777" w:rsidTr="005C7D38">
        <w:trPr>
          <w:trHeight w:val="48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CB3EF48" w14:textId="77777777" w:rsidR="00293F62" w:rsidRPr="009548E1" w:rsidRDefault="00293F62" w:rsidP="005C7D38">
            <w:pPr>
              <w:jc w:val="center"/>
              <w:rPr>
                <w:sz w:val="18"/>
                <w:szCs w:val="18"/>
              </w:rPr>
            </w:pPr>
            <w:r w:rsidRPr="009548E1">
              <w:rPr>
                <w:sz w:val="18"/>
                <w:szCs w:val="18"/>
              </w:rPr>
              <w:t>30.</w:t>
            </w:r>
          </w:p>
        </w:tc>
        <w:tc>
          <w:tcPr>
            <w:tcW w:w="4678" w:type="dxa"/>
            <w:tcBorders>
              <w:top w:val="nil"/>
              <w:left w:val="nil"/>
              <w:bottom w:val="single" w:sz="4" w:space="0" w:color="auto"/>
              <w:right w:val="single" w:sz="4" w:space="0" w:color="auto"/>
            </w:tcBorders>
            <w:shd w:val="clear" w:color="auto" w:fill="auto"/>
            <w:vAlign w:val="center"/>
            <w:hideMark/>
          </w:tcPr>
          <w:p w14:paraId="1DEF9A24" w14:textId="77777777" w:rsidR="00293F62" w:rsidRPr="009548E1" w:rsidRDefault="00293F62" w:rsidP="005C7D38">
            <w:pPr>
              <w:rPr>
                <w:sz w:val="18"/>
                <w:szCs w:val="18"/>
              </w:rPr>
            </w:pPr>
            <w:r w:rsidRPr="009548E1">
              <w:rPr>
                <w:sz w:val="18"/>
                <w:szCs w:val="18"/>
              </w:rPr>
              <w:t>83640-HR IFL FS ERDPL 2 - Drugi zajam za razvojnu politiku gospodarskog oporavka</w:t>
            </w:r>
          </w:p>
        </w:tc>
        <w:tc>
          <w:tcPr>
            <w:tcW w:w="884" w:type="dxa"/>
            <w:tcBorders>
              <w:top w:val="nil"/>
              <w:left w:val="nil"/>
              <w:bottom w:val="single" w:sz="4" w:space="0" w:color="auto"/>
              <w:right w:val="single" w:sz="4" w:space="0" w:color="auto"/>
            </w:tcBorders>
            <w:shd w:val="clear" w:color="auto" w:fill="auto"/>
            <w:noWrap/>
            <w:vAlign w:val="center"/>
            <w:hideMark/>
          </w:tcPr>
          <w:p w14:paraId="0BF909A9" w14:textId="77777777" w:rsidR="00293F62" w:rsidRPr="009548E1" w:rsidRDefault="00293F62" w:rsidP="005C7D38">
            <w:pPr>
              <w:jc w:val="center"/>
              <w:rPr>
                <w:color w:val="000000"/>
                <w:sz w:val="18"/>
                <w:szCs w:val="18"/>
              </w:rPr>
            </w:pPr>
            <w:r w:rsidRPr="009548E1">
              <w:rPr>
                <w:color w:val="000000"/>
                <w:sz w:val="18"/>
                <w:szCs w:val="18"/>
              </w:rPr>
              <w:t>IBRD</w:t>
            </w:r>
          </w:p>
        </w:tc>
        <w:tc>
          <w:tcPr>
            <w:tcW w:w="910" w:type="dxa"/>
            <w:tcBorders>
              <w:top w:val="nil"/>
              <w:left w:val="nil"/>
              <w:bottom w:val="single" w:sz="4" w:space="0" w:color="auto"/>
              <w:right w:val="single" w:sz="4" w:space="0" w:color="auto"/>
            </w:tcBorders>
            <w:shd w:val="clear" w:color="auto" w:fill="auto"/>
            <w:noWrap/>
            <w:vAlign w:val="center"/>
            <w:hideMark/>
          </w:tcPr>
          <w:p w14:paraId="6BF43CCF"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13CDB5AE" w14:textId="77777777" w:rsidR="00293F62" w:rsidRPr="009548E1" w:rsidRDefault="00293F62" w:rsidP="005C7D38">
            <w:pPr>
              <w:jc w:val="right"/>
              <w:rPr>
                <w:color w:val="000000"/>
                <w:sz w:val="18"/>
                <w:szCs w:val="18"/>
              </w:rPr>
            </w:pPr>
            <w:r w:rsidRPr="009548E1">
              <w:rPr>
                <w:color w:val="000000"/>
                <w:sz w:val="18"/>
                <w:szCs w:val="18"/>
              </w:rPr>
              <w:t>150.000.000,00</w:t>
            </w:r>
          </w:p>
        </w:tc>
      </w:tr>
      <w:tr w:rsidR="00293F62" w:rsidRPr="009548E1" w14:paraId="2E5DF676" w14:textId="77777777" w:rsidTr="005C7D38">
        <w:trPr>
          <w:trHeight w:val="48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31DD612" w14:textId="77777777" w:rsidR="00293F62" w:rsidRPr="009548E1" w:rsidRDefault="00293F62" w:rsidP="005C7D38">
            <w:pPr>
              <w:jc w:val="center"/>
              <w:rPr>
                <w:sz w:val="18"/>
                <w:szCs w:val="18"/>
              </w:rPr>
            </w:pPr>
            <w:r w:rsidRPr="009548E1">
              <w:rPr>
                <w:sz w:val="18"/>
                <w:szCs w:val="18"/>
              </w:rPr>
              <w:t>31.</w:t>
            </w:r>
          </w:p>
        </w:tc>
        <w:tc>
          <w:tcPr>
            <w:tcW w:w="4678" w:type="dxa"/>
            <w:tcBorders>
              <w:top w:val="nil"/>
              <w:left w:val="nil"/>
              <w:bottom w:val="single" w:sz="4" w:space="0" w:color="auto"/>
              <w:right w:val="single" w:sz="4" w:space="0" w:color="auto"/>
            </w:tcBorders>
            <w:shd w:val="clear" w:color="auto" w:fill="auto"/>
            <w:vAlign w:val="center"/>
            <w:hideMark/>
          </w:tcPr>
          <w:p w14:paraId="1AAA497B" w14:textId="77777777" w:rsidR="00293F62" w:rsidRPr="009548E1" w:rsidRDefault="00293F62" w:rsidP="005C7D38">
            <w:pPr>
              <w:rPr>
                <w:sz w:val="18"/>
                <w:szCs w:val="18"/>
              </w:rPr>
            </w:pPr>
            <w:r w:rsidRPr="009548E1">
              <w:rPr>
                <w:sz w:val="18"/>
                <w:szCs w:val="18"/>
              </w:rPr>
              <w:t>83650-HR IFL FS - Program poboljšanja kvalitete i djelotvornosti pružanja zdravstvenih usluga</w:t>
            </w:r>
          </w:p>
        </w:tc>
        <w:tc>
          <w:tcPr>
            <w:tcW w:w="884" w:type="dxa"/>
            <w:tcBorders>
              <w:top w:val="nil"/>
              <w:left w:val="nil"/>
              <w:bottom w:val="single" w:sz="4" w:space="0" w:color="auto"/>
              <w:right w:val="single" w:sz="4" w:space="0" w:color="auto"/>
            </w:tcBorders>
            <w:shd w:val="clear" w:color="auto" w:fill="auto"/>
            <w:noWrap/>
            <w:vAlign w:val="center"/>
            <w:hideMark/>
          </w:tcPr>
          <w:p w14:paraId="11D1BE77" w14:textId="77777777" w:rsidR="00293F62" w:rsidRPr="009548E1" w:rsidRDefault="00293F62" w:rsidP="005C7D38">
            <w:pPr>
              <w:jc w:val="center"/>
              <w:rPr>
                <w:color w:val="000000"/>
                <w:sz w:val="18"/>
                <w:szCs w:val="18"/>
              </w:rPr>
            </w:pPr>
            <w:r w:rsidRPr="009548E1">
              <w:rPr>
                <w:color w:val="000000"/>
                <w:sz w:val="18"/>
                <w:szCs w:val="18"/>
              </w:rPr>
              <w:t>IBRD</w:t>
            </w:r>
          </w:p>
        </w:tc>
        <w:tc>
          <w:tcPr>
            <w:tcW w:w="910" w:type="dxa"/>
            <w:tcBorders>
              <w:top w:val="nil"/>
              <w:left w:val="nil"/>
              <w:bottom w:val="single" w:sz="4" w:space="0" w:color="auto"/>
              <w:right w:val="single" w:sz="4" w:space="0" w:color="auto"/>
            </w:tcBorders>
            <w:shd w:val="clear" w:color="auto" w:fill="auto"/>
            <w:noWrap/>
            <w:vAlign w:val="center"/>
            <w:hideMark/>
          </w:tcPr>
          <w:p w14:paraId="36849959"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17FBB510" w14:textId="77777777" w:rsidR="00293F62" w:rsidRPr="009548E1" w:rsidRDefault="00293F62" w:rsidP="005C7D38">
            <w:pPr>
              <w:jc w:val="right"/>
              <w:rPr>
                <w:color w:val="000000"/>
                <w:sz w:val="18"/>
                <w:szCs w:val="18"/>
              </w:rPr>
            </w:pPr>
            <w:r w:rsidRPr="009548E1">
              <w:rPr>
                <w:color w:val="000000"/>
                <w:sz w:val="18"/>
                <w:szCs w:val="18"/>
              </w:rPr>
              <w:t>42.065.689,11</w:t>
            </w:r>
          </w:p>
        </w:tc>
      </w:tr>
      <w:tr w:rsidR="00293F62" w:rsidRPr="009548E1" w14:paraId="1B45B38D" w14:textId="77777777" w:rsidTr="005C7D38">
        <w:trPr>
          <w:trHeight w:val="48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5C4E9ED" w14:textId="77777777" w:rsidR="00293F62" w:rsidRPr="009548E1" w:rsidRDefault="00293F62" w:rsidP="005C7D38">
            <w:pPr>
              <w:jc w:val="center"/>
              <w:rPr>
                <w:sz w:val="18"/>
                <w:szCs w:val="18"/>
              </w:rPr>
            </w:pPr>
            <w:r w:rsidRPr="009548E1">
              <w:rPr>
                <w:sz w:val="18"/>
                <w:szCs w:val="18"/>
              </w:rPr>
              <w:t>32.</w:t>
            </w:r>
          </w:p>
        </w:tc>
        <w:tc>
          <w:tcPr>
            <w:tcW w:w="4678" w:type="dxa"/>
            <w:tcBorders>
              <w:top w:val="nil"/>
              <w:left w:val="nil"/>
              <w:bottom w:val="single" w:sz="4" w:space="0" w:color="auto"/>
              <w:right w:val="single" w:sz="4" w:space="0" w:color="auto"/>
            </w:tcBorders>
            <w:shd w:val="clear" w:color="auto" w:fill="auto"/>
            <w:vAlign w:val="center"/>
            <w:hideMark/>
          </w:tcPr>
          <w:p w14:paraId="4E4F19DD" w14:textId="77777777" w:rsidR="00293F62" w:rsidRPr="009548E1" w:rsidRDefault="00293F62" w:rsidP="005C7D38">
            <w:pPr>
              <w:rPr>
                <w:sz w:val="18"/>
                <w:szCs w:val="18"/>
              </w:rPr>
            </w:pPr>
            <w:r w:rsidRPr="009548E1">
              <w:rPr>
                <w:sz w:val="18"/>
                <w:szCs w:val="18"/>
              </w:rPr>
              <w:t>87490-HR IFL FS - Projekt modernizacije i restrukturiranja cestovnog sektora</w:t>
            </w:r>
          </w:p>
        </w:tc>
        <w:tc>
          <w:tcPr>
            <w:tcW w:w="884" w:type="dxa"/>
            <w:tcBorders>
              <w:top w:val="nil"/>
              <w:left w:val="nil"/>
              <w:bottom w:val="single" w:sz="4" w:space="0" w:color="auto"/>
              <w:right w:val="single" w:sz="4" w:space="0" w:color="auto"/>
            </w:tcBorders>
            <w:shd w:val="clear" w:color="auto" w:fill="auto"/>
            <w:noWrap/>
            <w:vAlign w:val="center"/>
            <w:hideMark/>
          </w:tcPr>
          <w:p w14:paraId="4BA01B49" w14:textId="77777777" w:rsidR="00293F62" w:rsidRPr="009548E1" w:rsidRDefault="00293F62" w:rsidP="005C7D38">
            <w:pPr>
              <w:jc w:val="center"/>
              <w:rPr>
                <w:color w:val="000000"/>
                <w:sz w:val="18"/>
                <w:szCs w:val="18"/>
              </w:rPr>
            </w:pPr>
            <w:r w:rsidRPr="009548E1">
              <w:rPr>
                <w:color w:val="000000"/>
                <w:sz w:val="18"/>
                <w:szCs w:val="18"/>
              </w:rPr>
              <w:t>IBRD</w:t>
            </w:r>
          </w:p>
        </w:tc>
        <w:tc>
          <w:tcPr>
            <w:tcW w:w="910" w:type="dxa"/>
            <w:tcBorders>
              <w:top w:val="nil"/>
              <w:left w:val="nil"/>
              <w:bottom w:val="single" w:sz="4" w:space="0" w:color="auto"/>
              <w:right w:val="single" w:sz="4" w:space="0" w:color="auto"/>
            </w:tcBorders>
            <w:shd w:val="clear" w:color="auto" w:fill="auto"/>
            <w:noWrap/>
            <w:vAlign w:val="center"/>
            <w:hideMark/>
          </w:tcPr>
          <w:p w14:paraId="58439DDA"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350BA856" w14:textId="77777777" w:rsidR="00293F62" w:rsidRPr="009548E1" w:rsidRDefault="00293F62" w:rsidP="005C7D38">
            <w:pPr>
              <w:jc w:val="right"/>
              <w:rPr>
                <w:color w:val="000000"/>
                <w:sz w:val="18"/>
                <w:szCs w:val="18"/>
              </w:rPr>
            </w:pPr>
            <w:r w:rsidRPr="009548E1">
              <w:rPr>
                <w:color w:val="000000"/>
                <w:sz w:val="18"/>
                <w:szCs w:val="18"/>
              </w:rPr>
              <w:t>8.153.441,15</w:t>
            </w:r>
          </w:p>
        </w:tc>
      </w:tr>
      <w:tr w:rsidR="00293F62" w:rsidRPr="009548E1" w14:paraId="24B5B328" w14:textId="77777777" w:rsidTr="005C7D38">
        <w:trPr>
          <w:trHeight w:val="48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C05E690" w14:textId="77777777" w:rsidR="00293F62" w:rsidRPr="009548E1" w:rsidRDefault="00293F62" w:rsidP="005C7D38">
            <w:pPr>
              <w:jc w:val="center"/>
              <w:rPr>
                <w:sz w:val="18"/>
                <w:szCs w:val="18"/>
              </w:rPr>
            </w:pPr>
            <w:r w:rsidRPr="009548E1">
              <w:rPr>
                <w:sz w:val="18"/>
                <w:szCs w:val="18"/>
              </w:rPr>
              <w:t>33.</w:t>
            </w:r>
          </w:p>
        </w:tc>
        <w:tc>
          <w:tcPr>
            <w:tcW w:w="4678" w:type="dxa"/>
            <w:tcBorders>
              <w:top w:val="nil"/>
              <w:left w:val="nil"/>
              <w:bottom w:val="single" w:sz="4" w:space="0" w:color="auto"/>
              <w:right w:val="single" w:sz="4" w:space="0" w:color="auto"/>
            </w:tcBorders>
            <w:shd w:val="clear" w:color="auto" w:fill="auto"/>
            <w:vAlign w:val="center"/>
            <w:hideMark/>
          </w:tcPr>
          <w:p w14:paraId="696B00F2" w14:textId="77777777" w:rsidR="00293F62" w:rsidRPr="009548E1" w:rsidRDefault="00293F62" w:rsidP="005C7D38">
            <w:pPr>
              <w:rPr>
                <w:sz w:val="18"/>
                <w:szCs w:val="18"/>
              </w:rPr>
            </w:pPr>
            <w:r w:rsidRPr="009548E1">
              <w:rPr>
                <w:sz w:val="18"/>
                <w:szCs w:val="18"/>
              </w:rPr>
              <w:t xml:space="preserve">89000-HR IFL FS - Dodatno financiranje Projekta implementacije integriranog sustava zemljišne administracije </w:t>
            </w:r>
          </w:p>
        </w:tc>
        <w:tc>
          <w:tcPr>
            <w:tcW w:w="884" w:type="dxa"/>
            <w:tcBorders>
              <w:top w:val="nil"/>
              <w:left w:val="nil"/>
              <w:bottom w:val="single" w:sz="4" w:space="0" w:color="auto"/>
              <w:right w:val="single" w:sz="4" w:space="0" w:color="auto"/>
            </w:tcBorders>
            <w:shd w:val="clear" w:color="auto" w:fill="auto"/>
            <w:noWrap/>
            <w:vAlign w:val="center"/>
            <w:hideMark/>
          </w:tcPr>
          <w:p w14:paraId="49102D90" w14:textId="77777777" w:rsidR="00293F62" w:rsidRPr="009548E1" w:rsidRDefault="00293F62" w:rsidP="005C7D38">
            <w:pPr>
              <w:jc w:val="center"/>
              <w:rPr>
                <w:color w:val="000000"/>
                <w:sz w:val="18"/>
                <w:szCs w:val="18"/>
              </w:rPr>
            </w:pPr>
            <w:r w:rsidRPr="009548E1">
              <w:rPr>
                <w:color w:val="000000"/>
                <w:sz w:val="18"/>
                <w:szCs w:val="18"/>
              </w:rPr>
              <w:t>IBRD</w:t>
            </w:r>
          </w:p>
        </w:tc>
        <w:tc>
          <w:tcPr>
            <w:tcW w:w="910" w:type="dxa"/>
            <w:tcBorders>
              <w:top w:val="nil"/>
              <w:left w:val="nil"/>
              <w:bottom w:val="single" w:sz="4" w:space="0" w:color="auto"/>
              <w:right w:val="single" w:sz="4" w:space="0" w:color="auto"/>
            </w:tcBorders>
            <w:shd w:val="clear" w:color="auto" w:fill="auto"/>
            <w:noWrap/>
            <w:vAlign w:val="center"/>
            <w:hideMark/>
          </w:tcPr>
          <w:p w14:paraId="0CB0CB80"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757BAD56" w14:textId="77777777" w:rsidR="00293F62" w:rsidRPr="009548E1" w:rsidRDefault="00293F62" w:rsidP="005C7D38">
            <w:pPr>
              <w:jc w:val="right"/>
              <w:rPr>
                <w:color w:val="000000"/>
                <w:sz w:val="18"/>
                <w:szCs w:val="18"/>
              </w:rPr>
            </w:pPr>
            <w:r w:rsidRPr="009548E1">
              <w:rPr>
                <w:color w:val="000000"/>
                <w:sz w:val="18"/>
                <w:szCs w:val="18"/>
              </w:rPr>
              <w:t>13.747.364,73</w:t>
            </w:r>
          </w:p>
        </w:tc>
      </w:tr>
      <w:tr w:rsidR="00293F62" w:rsidRPr="009548E1" w14:paraId="54423F35" w14:textId="77777777" w:rsidTr="005C7D38">
        <w:trPr>
          <w:trHeight w:val="48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9A6C332" w14:textId="77777777" w:rsidR="00293F62" w:rsidRPr="009548E1" w:rsidRDefault="00293F62" w:rsidP="005C7D38">
            <w:pPr>
              <w:jc w:val="center"/>
              <w:rPr>
                <w:sz w:val="18"/>
                <w:szCs w:val="18"/>
              </w:rPr>
            </w:pPr>
            <w:r w:rsidRPr="009548E1">
              <w:rPr>
                <w:sz w:val="18"/>
                <w:szCs w:val="18"/>
              </w:rPr>
              <w:t>34.</w:t>
            </w:r>
          </w:p>
        </w:tc>
        <w:tc>
          <w:tcPr>
            <w:tcW w:w="4678" w:type="dxa"/>
            <w:tcBorders>
              <w:top w:val="nil"/>
              <w:left w:val="nil"/>
              <w:bottom w:val="single" w:sz="4" w:space="0" w:color="auto"/>
              <w:right w:val="single" w:sz="4" w:space="0" w:color="auto"/>
            </w:tcBorders>
            <w:shd w:val="clear" w:color="auto" w:fill="auto"/>
            <w:vAlign w:val="center"/>
            <w:hideMark/>
          </w:tcPr>
          <w:p w14:paraId="3D9B41D0" w14:textId="77777777" w:rsidR="00293F62" w:rsidRPr="009548E1" w:rsidRDefault="00293F62" w:rsidP="005C7D38">
            <w:pPr>
              <w:rPr>
                <w:sz w:val="18"/>
                <w:szCs w:val="18"/>
              </w:rPr>
            </w:pPr>
            <w:r w:rsidRPr="009548E1">
              <w:rPr>
                <w:sz w:val="18"/>
                <w:szCs w:val="18"/>
              </w:rPr>
              <w:t>90570-HR IFL FS - Projekt učinkovitog pravosuđa za bolje poslovno okruženje</w:t>
            </w:r>
          </w:p>
        </w:tc>
        <w:tc>
          <w:tcPr>
            <w:tcW w:w="884" w:type="dxa"/>
            <w:tcBorders>
              <w:top w:val="nil"/>
              <w:left w:val="nil"/>
              <w:bottom w:val="single" w:sz="4" w:space="0" w:color="auto"/>
              <w:right w:val="single" w:sz="4" w:space="0" w:color="auto"/>
            </w:tcBorders>
            <w:shd w:val="clear" w:color="auto" w:fill="auto"/>
            <w:noWrap/>
            <w:vAlign w:val="center"/>
            <w:hideMark/>
          </w:tcPr>
          <w:p w14:paraId="08388A94" w14:textId="77777777" w:rsidR="00293F62" w:rsidRPr="009548E1" w:rsidRDefault="00293F62" w:rsidP="005C7D38">
            <w:pPr>
              <w:jc w:val="center"/>
              <w:rPr>
                <w:color w:val="000000"/>
                <w:sz w:val="18"/>
                <w:szCs w:val="18"/>
              </w:rPr>
            </w:pPr>
            <w:r w:rsidRPr="009548E1">
              <w:rPr>
                <w:color w:val="000000"/>
                <w:sz w:val="18"/>
                <w:szCs w:val="18"/>
              </w:rPr>
              <w:t>IBRD</w:t>
            </w:r>
          </w:p>
        </w:tc>
        <w:tc>
          <w:tcPr>
            <w:tcW w:w="910" w:type="dxa"/>
            <w:tcBorders>
              <w:top w:val="nil"/>
              <w:left w:val="nil"/>
              <w:bottom w:val="single" w:sz="4" w:space="0" w:color="auto"/>
              <w:right w:val="single" w:sz="4" w:space="0" w:color="auto"/>
            </w:tcBorders>
            <w:shd w:val="clear" w:color="auto" w:fill="auto"/>
            <w:noWrap/>
            <w:vAlign w:val="center"/>
            <w:hideMark/>
          </w:tcPr>
          <w:p w14:paraId="7C290436"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4C939183" w14:textId="77777777" w:rsidR="00293F62" w:rsidRPr="009548E1" w:rsidRDefault="00293F62" w:rsidP="005C7D38">
            <w:pPr>
              <w:jc w:val="right"/>
              <w:rPr>
                <w:color w:val="000000"/>
                <w:sz w:val="18"/>
                <w:szCs w:val="18"/>
              </w:rPr>
            </w:pPr>
            <w:r w:rsidRPr="009548E1">
              <w:rPr>
                <w:color w:val="000000"/>
                <w:sz w:val="18"/>
                <w:szCs w:val="18"/>
              </w:rPr>
              <w:t>53.715.356,65</w:t>
            </w:r>
          </w:p>
        </w:tc>
      </w:tr>
      <w:tr w:rsidR="00293F62" w:rsidRPr="009548E1" w14:paraId="78EC8A17" w14:textId="77777777" w:rsidTr="005C7D38">
        <w:trPr>
          <w:trHeight w:val="48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C7FAE52" w14:textId="77777777" w:rsidR="00293F62" w:rsidRPr="009548E1" w:rsidRDefault="00293F62" w:rsidP="005C7D38">
            <w:pPr>
              <w:jc w:val="center"/>
              <w:rPr>
                <w:sz w:val="18"/>
                <w:szCs w:val="18"/>
              </w:rPr>
            </w:pPr>
            <w:r w:rsidRPr="009548E1">
              <w:rPr>
                <w:sz w:val="18"/>
                <w:szCs w:val="18"/>
              </w:rPr>
              <w:t>35.</w:t>
            </w:r>
          </w:p>
        </w:tc>
        <w:tc>
          <w:tcPr>
            <w:tcW w:w="4678" w:type="dxa"/>
            <w:tcBorders>
              <w:top w:val="nil"/>
              <w:left w:val="nil"/>
              <w:bottom w:val="single" w:sz="4" w:space="0" w:color="auto"/>
              <w:right w:val="single" w:sz="4" w:space="0" w:color="auto"/>
            </w:tcBorders>
            <w:shd w:val="clear" w:color="auto" w:fill="auto"/>
            <w:vAlign w:val="center"/>
            <w:hideMark/>
          </w:tcPr>
          <w:p w14:paraId="194F4001" w14:textId="77777777" w:rsidR="00293F62" w:rsidRPr="009548E1" w:rsidRDefault="00293F62" w:rsidP="005C7D38">
            <w:pPr>
              <w:rPr>
                <w:sz w:val="18"/>
                <w:szCs w:val="18"/>
              </w:rPr>
            </w:pPr>
            <w:r w:rsidRPr="009548E1">
              <w:rPr>
                <w:sz w:val="18"/>
                <w:szCs w:val="18"/>
              </w:rPr>
              <w:t>91270-HR IFL FS - Projekt oporavka nakon potresa i jačanja pripravnosti javnog zdravstva</w:t>
            </w:r>
          </w:p>
        </w:tc>
        <w:tc>
          <w:tcPr>
            <w:tcW w:w="884" w:type="dxa"/>
            <w:tcBorders>
              <w:top w:val="nil"/>
              <w:left w:val="nil"/>
              <w:bottom w:val="single" w:sz="4" w:space="0" w:color="auto"/>
              <w:right w:val="single" w:sz="4" w:space="0" w:color="auto"/>
            </w:tcBorders>
            <w:shd w:val="clear" w:color="auto" w:fill="auto"/>
            <w:noWrap/>
            <w:vAlign w:val="center"/>
            <w:hideMark/>
          </w:tcPr>
          <w:p w14:paraId="10573365" w14:textId="77777777" w:rsidR="00293F62" w:rsidRPr="009548E1" w:rsidRDefault="00293F62" w:rsidP="005C7D38">
            <w:pPr>
              <w:jc w:val="center"/>
              <w:rPr>
                <w:color w:val="000000"/>
                <w:sz w:val="18"/>
                <w:szCs w:val="18"/>
              </w:rPr>
            </w:pPr>
            <w:r w:rsidRPr="009548E1">
              <w:rPr>
                <w:color w:val="000000"/>
                <w:sz w:val="18"/>
                <w:szCs w:val="18"/>
              </w:rPr>
              <w:t>IBRD</w:t>
            </w:r>
          </w:p>
        </w:tc>
        <w:tc>
          <w:tcPr>
            <w:tcW w:w="910" w:type="dxa"/>
            <w:tcBorders>
              <w:top w:val="nil"/>
              <w:left w:val="nil"/>
              <w:bottom w:val="single" w:sz="4" w:space="0" w:color="auto"/>
              <w:right w:val="single" w:sz="4" w:space="0" w:color="auto"/>
            </w:tcBorders>
            <w:shd w:val="clear" w:color="auto" w:fill="auto"/>
            <w:noWrap/>
            <w:vAlign w:val="center"/>
            <w:hideMark/>
          </w:tcPr>
          <w:p w14:paraId="7C5B52AD"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567F9E66" w14:textId="77777777" w:rsidR="00293F62" w:rsidRPr="009548E1" w:rsidRDefault="00293F62" w:rsidP="005C7D38">
            <w:pPr>
              <w:jc w:val="right"/>
              <w:rPr>
                <w:color w:val="000000"/>
                <w:sz w:val="18"/>
                <w:szCs w:val="18"/>
              </w:rPr>
            </w:pPr>
            <w:r w:rsidRPr="009548E1">
              <w:rPr>
                <w:color w:val="000000"/>
                <w:sz w:val="18"/>
                <w:szCs w:val="18"/>
              </w:rPr>
              <w:t>19.370.239,00</w:t>
            </w:r>
          </w:p>
        </w:tc>
      </w:tr>
      <w:tr w:rsidR="00293F62" w:rsidRPr="009548E1" w14:paraId="03AD27D2" w14:textId="77777777" w:rsidTr="005C7D38">
        <w:trPr>
          <w:trHeight w:val="48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57A88CC" w14:textId="77777777" w:rsidR="00293F62" w:rsidRPr="009548E1" w:rsidRDefault="00293F62" w:rsidP="005C7D38">
            <w:pPr>
              <w:jc w:val="center"/>
              <w:rPr>
                <w:sz w:val="18"/>
                <w:szCs w:val="18"/>
              </w:rPr>
            </w:pPr>
            <w:r w:rsidRPr="009548E1">
              <w:rPr>
                <w:sz w:val="18"/>
                <w:szCs w:val="18"/>
              </w:rPr>
              <w:t>36.</w:t>
            </w:r>
          </w:p>
        </w:tc>
        <w:tc>
          <w:tcPr>
            <w:tcW w:w="4678" w:type="dxa"/>
            <w:tcBorders>
              <w:top w:val="nil"/>
              <w:left w:val="nil"/>
              <w:bottom w:val="single" w:sz="4" w:space="0" w:color="auto"/>
              <w:right w:val="single" w:sz="4" w:space="0" w:color="auto"/>
            </w:tcBorders>
            <w:shd w:val="clear" w:color="auto" w:fill="auto"/>
            <w:vAlign w:val="center"/>
            <w:hideMark/>
          </w:tcPr>
          <w:p w14:paraId="68DEB813" w14:textId="77777777" w:rsidR="00293F62" w:rsidRPr="009548E1" w:rsidRDefault="00293F62" w:rsidP="005C7D38">
            <w:pPr>
              <w:rPr>
                <w:sz w:val="18"/>
                <w:szCs w:val="18"/>
              </w:rPr>
            </w:pPr>
            <w:r w:rsidRPr="009548E1">
              <w:rPr>
                <w:sz w:val="18"/>
                <w:szCs w:val="18"/>
              </w:rPr>
              <w:t>91350-HR IFL FS - Zajam za razvojnu politiku za odgovor na krizu i podršku oporavku</w:t>
            </w:r>
          </w:p>
        </w:tc>
        <w:tc>
          <w:tcPr>
            <w:tcW w:w="884" w:type="dxa"/>
            <w:tcBorders>
              <w:top w:val="nil"/>
              <w:left w:val="nil"/>
              <w:bottom w:val="single" w:sz="4" w:space="0" w:color="auto"/>
              <w:right w:val="single" w:sz="4" w:space="0" w:color="auto"/>
            </w:tcBorders>
            <w:shd w:val="clear" w:color="auto" w:fill="auto"/>
            <w:noWrap/>
            <w:vAlign w:val="center"/>
            <w:hideMark/>
          </w:tcPr>
          <w:p w14:paraId="4348930F" w14:textId="77777777" w:rsidR="00293F62" w:rsidRPr="009548E1" w:rsidRDefault="00293F62" w:rsidP="005C7D38">
            <w:pPr>
              <w:jc w:val="center"/>
              <w:rPr>
                <w:color w:val="000000"/>
                <w:sz w:val="18"/>
                <w:szCs w:val="18"/>
              </w:rPr>
            </w:pPr>
            <w:r w:rsidRPr="009548E1">
              <w:rPr>
                <w:color w:val="000000"/>
                <w:sz w:val="18"/>
                <w:szCs w:val="18"/>
              </w:rPr>
              <w:t>IBRD</w:t>
            </w:r>
          </w:p>
        </w:tc>
        <w:tc>
          <w:tcPr>
            <w:tcW w:w="910" w:type="dxa"/>
            <w:tcBorders>
              <w:top w:val="nil"/>
              <w:left w:val="nil"/>
              <w:bottom w:val="single" w:sz="4" w:space="0" w:color="auto"/>
              <w:right w:val="single" w:sz="4" w:space="0" w:color="auto"/>
            </w:tcBorders>
            <w:shd w:val="clear" w:color="auto" w:fill="auto"/>
            <w:noWrap/>
            <w:vAlign w:val="center"/>
            <w:hideMark/>
          </w:tcPr>
          <w:p w14:paraId="523E7E57"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4281ABEB" w14:textId="77777777" w:rsidR="00293F62" w:rsidRPr="009548E1" w:rsidRDefault="00293F62" w:rsidP="005C7D38">
            <w:pPr>
              <w:jc w:val="right"/>
              <w:rPr>
                <w:color w:val="000000"/>
                <w:sz w:val="18"/>
                <w:szCs w:val="18"/>
              </w:rPr>
            </w:pPr>
            <w:r w:rsidRPr="009548E1">
              <w:rPr>
                <w:color w:val="000000"/>
                <w:sz w:val="18"/>
                <w:szCs w:val="18"/>
              </w:rPr>
              <w:t>275.900.000,00</w:t>
            </w:r>
          </w:p>
        </w:tc>
      </w:tr>
      <w:tr w:rsidR="00293F62" w:rsidRPr="009548E1" w14:paraId="79E28C37" w14:textId="77777777" w:rsidTr="005C7D38">
        <w:trPr>
          <w:trHeight w:val="48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4DD67C7" w14:textId="77777777" w:rsidR="00293F62" w:rsidRPr="009548E1" w:rsidRDefault="00293F62" w:rsidP="005C7D38">
            <w:pPr>
              <w:jc w:val="center"/>
              <w:rPr>
                <w:sz w:val="18"/>
                <w:szCs w:val="18"/>
              </w:rPr>
            </w:pPr>
            <w:r w:rsidRPr="009548E1">
              <w:rPr>
                <w:sz w:val="18"/>
                <w:szCs w:val="18"/>
              </w:rPr>
              <w:t>37.</w:t>
            </w:r>
          </w:p>
        </w:tc>
        <w:tc>
          <w:tcPr>
            <w:tcW w:w="4678" w:type="dxa"/>
            <w:tcBorders>
              <w:top w:val="nil"/>
              <w:left w:val="nil"/>
              <w:bottom w:val="single" w:sz="4" w:space="0" w:color="auto"/>
              <w:right w:val="single" w:sz="4" w:space="0" w:color="auto"/>
            </w:tcBorders>
            <w:shd w:val="clear" w:color="auto" w:fill="auto"/>
            <w:vAlign w:val="center"/>
            <w:hideMark/>
          </w:tcPr>
          <w:p w14:paraId="5CE2F184" w14:textId="77777777" w:rsidR="00293F62" w:rsidRPr="009548E1" w:rsidRDefault="00293F62" w:rsidP="005C7D38">
            <w:pPr>
              <w:rPr>
                <w:sz w:val="18"/>
                <w:szCs w:val="18"/>
              </w:rPr>
            </w:pPr>
            <w:r w:rsidRPr="009548E1">
              <w:rPr>
                <w:sz w:val="18"/>
                <w:szCs w:val="18"/>
              </w:rPr>
              <w:t>93030-HR IFL VS - Projekt „Hrvatska: Ususret održivom, pravednom i učinkovitom obrazovanju“</w:t>
            </w:r>
          </w:p>
        </w:tc>
        <w:tc>
          <w:tcPr>
            <w:tcW w:w="884" w:type="dxa"/>
            <w:tcBorders>
              <w:top w:val="nil"/>
              <w:left w:val="nil"/>
              <w:bottom w:val="single" w:sz="4" w:space="0" w:color="auto"/>
              <w:right w:val="single" w:sz="4" w:space="0" w:color="auto"/>
            </w:tcBorders>
            <w:shd w:val="clear" w:color="auto" w:fill="auto"/>
            <w:noWrap/>
            <w:vAlign w:val="center"/>
            <w:hideMark/>
          </w:tcPr>
          <w:p w14:paraId="095845F3" w14:textId="77777777" w:rsidR="00293F62" w:rsidRPr="009548E1" w:rsidRDefault="00293F62" w:rsidP="005C7D38">
            <w:pPr>
              <w:jc w:val="center"/>
              <w:rPr>
                <w:color w:val="000000"/>
                <w:sz w:val="18"/>
                <w:szCs w:val="18"/>
              </w:rPr>
            </w:pPr>
            <w:r w:rsidRPr="009548E1">
              <w:rPr>
                <w:color w:val="000000"/>
                <w:sz w:val="18"/>
                <w:szCs w:val="18"/>
              </w:rPr>
              <w:t>IBRD</w:t>
            </w:r>
          </w:p>
        </w:tc>
        <w:tc>
          <w:tcPr>
            <w:tcW w:w="910" w:type="dxa"/>
            <w:tcBorders>
              <w:top w:val="nil"/>
              <w:left w:val="nil"/>
              <w:bottom w:val="single" w:sz="4" w:space="0" w:color="auto"/>
              <w:right w:val="single" w:sz="4" w:space="0" w:color="auto"/>
            </w:tcBorders>
            <w:shd w:val="clear" w:color="auto" w:fill="auto"/>
            <w:noWrap/>
            <w:vAlign w:val="center"/>
            <w:hideMark/>
          </w:tcPr>
          <w:p w14:paraId="1A802B75"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420FF97A" w14:textId="77777777" w:rsidR="00293F62" w:rsidRPr="009548E1" w:rsidRDefault="00293F62" w:rsidP="005C7D38">
            <w:pPr>
              <w:jc w:val="right"/>
              <w:rPr>
                <w:color w:val="000000"/>
                <w:sz w:val="18"/>
                <w:szCs w:val="18"/>
              </w:rPr>
            </w:pPr>
            <w:r w:rsidRPr="009548E1">
              <w:rPr>
                <w:color w:val="000000"/>
                <w:sz w:val="18"/>
                <w:szCs w:val="18"/>
              </w:rPr>
              <w:t>2.744.265,00</w:t>
            </w:r>
          </w:p>
        </w:tc>
      </w:tr>
      <w:tr w:rsidR="00293F62" w:rsidRPr="009548E1" w14:paraId="67C89089" w14:textId="77777777" w:rsidTr="005C7D38">
        <w:trPr>
          <w:trHeight w:val="300"/>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32A2474" w14:textId="77777777" w:rsidR="00293F62" w:rsidRPr="009548E1" w:rsidRDefault="00293F62" w:rsidP="005C7D38">
            <w:pPr>
              <w:jc w:val="center"/>
              <w:rPr>
                <w:sz w:val="18"/>
                <w:szCs w:val="18"/>
              </w:rPr>
            </w:pPr>
            <w:r w:rsidRPr="009548E1">
              <w:rPr>
                <w:sz w:val="18"/>
                <w:szCs w:val="18"/>
              </w:rPr>
              <w:t>38.</w:t>
            </w:r>
          </w:p>
        </w:tc>
        <w:tc>
          <w:tcPr>
            <w:tcW w:w="4678" w:type="dxa"/>
            <w:tcBorders>
              <w:top w:val="nil"/>
              <w:left w:val="nil"/>
              <w:bottom w:val="single" w:sz="4" w:space="0" w:color="auto"/>
              <w:right w:val="single" w:sz="4" w:space="0" w:color="auto"/>
            </w:tcBorders>
            <w:shd w:val="clear" w:color="auto" w:fill="auto"/>
            <w:vAlign w:val="center"/>
            <w:hideMark/>
          </w:tcPr>
          <w:p w14:paraId="02C51D08" w14:textId="77777777" w:rsidR="00293F62" w:rsidRPr="009548E1" w:rsidRDefault="00293F62" w:rsidP="005C7D38">
            <w:pPr>
              <w:rPr>
                <w:sz w:val="18"/>
                <w:szCs w:val="18"/>
              </w:rPr>
            </w:pPr>
            <w:r w:rsidRPr="009548E1">
              <w:rPr>
                <w:sz w:val="18"/>
                <w:szCs w:val="18"/>
              </w:rPr>
              <w:t>85020-HR IFL VS - Projekt održivih hrvatskih željeznica u Europi</w:t>
            </w:r>
          </w:p>
        </w:tc>
        <w:tc>
          <w:tcPr>
            <w:tcW w:w="884" w:type="dxa"/>
            <w:tcBorders>
              <w:top w:val="nil"/>
              <w:left w:val="nil"/>
              <w:bottom w:val="single" w:sz="4" w:space="0" w:color="auto"/>
              <w:right w:val="single" w:sz="4" w:space="0" w:color="auto"/>
            </w:tcBorders>
            <w:shd w:val="clear" w:color="auto" w:fill="auto"/>
            <w:noWrap/>
            <w:vAlign w:val="center"/>
            <w:hideMark/>
          </w:tcPr>
          <w:p w14:paraId="5EF779CC" w14:textId="77777777" w:rsidR="00293F62" w:rsidRPr="009548E1" w:rsidRDefault="00293F62" w:rsidP="005C7D38">
            <w:pPr>
              <w:jc w:val="center"/>
              <w:rPr>
                <w:color w:val="000000"/>
                <w:sz w:val="18"/>
                <w:szCs w:val="18"/>
              </w:rPr>
            </w:pPr>
            <w:r w:rsidRPr="009548E1">
              <w:rPr>
                <w:color w:val="000000"/>
                <w:sz w:val="18"/>
                <w:szCs w:val="18"/>
              </w:rPr>
              <w:t>IBRD</w:t>
            </w:r>
          </w:p>
        </w:tc>
        <w:tc>
          <w:tcPr>
            <w:tcW w:w="910" w:type="dxa"/>
            <w:tcBorders>
              <w:top w:val="nil"/>
              <w:left w:val="nil"/>
              <w:bottom w:val="single" w:sz="4" w:space="0" w:color="auto"/>
              <w:right w:val="single" w:sz="4" w:space="0" w:color="auto"/>
            </w:tcBorders>
            <w:shd w:val="clear" w:color="auto" w:fill="auto"/>
            <w:noWrap/>
            <w:vAlign w:val="center"/>
            <w:hideMark/>
          </w:tcPr>
          <w:p w14:paraId="5708794B"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7B2223E9" w14:textId="77777777" w:rsidR="00293F62" w:rsidRPr="009548E1" w:rsidRDefault="00293F62" w:rsidP="005C7D38">
            <w:pPr>
              <w:jc w:val="right"/>
              <w:rPr>
                <w:color w:val="000000"/>
                <w:sz w:val="18"/>
                <w:szCs w:val="18"/>
              </w:rPr>
            </w:pPr>
            <w:r w:rsidRPr="009548E1">
              <w:rPr>
                <w:color w:val="000000"/>
                <w:sz w:val="18"/>
                <w:szCs w:val="18"/>
              </w:rPr>
              <w:t>34.551.670,53</w:t>
            </w:r>
          </w:p>
        </w:tc>
      </w:tr>
      <w:tr w:rsidR="00293F62" w:rsidRPr="009548E1" w14:paraId="32352CA6" w14:textId="77777777" w:rsidTr="005C7D38">
        <w:trPr>
          <w:trHeight w:val="315"/>
          <w:jc w:val="right"/>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45DD162" w14:textId="77777777" w:rsidR="00293F62" w:rsidRPr="009548E1" w:rsidRDefault="00293F62" w:rsidP="005C7D38">
            <w:pPr>
              <w:jc w:val="center"/>
              <w:rPr>
                <w:sz w:val="18"/>
                <w:szCs w:val="18"/>
              </w:rPr>
            </w:pPr>
            <w:r w:rsidRPr="009548E1">
              <w:rPr>
                <w:sz w:val="18"/>
                <w:szCs w:val="18"/>
              </w:rPr>
              <w:t>39.</w:t>
            </w:r>
          </w:p>
        </w:tc>
        <w:tc>
          <w:tcPr>
            <w:tcW w:w="4678" w:type="dxa"/>
            <w:tcBorders>
              <w:top w:val="nil"/>
              <w:left w:val="nil"/>
              <w:bottom w:val="single" w:sz="4" w:space="0" w:color="auto"/>
              <w:right w:val="single" w:sz="4" w:space="0" w:color="auto"/>
            </w:tcBorders>
            <w:shd w:val="clear" w:color="auto" w:fill="auto"/>
            <w:vAlign w:val="center"/>
            <w:hideMark/>
          </w:tcPr>
          <w:p w14:paraId="6E364882" w14:textId="77777777" w:rsidR="00293F62" w:rsidRPr="009548E1" w:rsidRDefault="00293F62" w:rsidP="005C7D38">
            <w:pPr>
              <w:rPr>
                <w:sz w:val="18"/>
                <w:szCs w:val="18"/>
              </w:rPr>
            </w:pPr>
            <w:r w:rsidRPr="009548E1">
              <w:rPr>
                <w:sz w:val="18"/>
                <w:szCs w:val="18"/>
              </w:rPr>
              <w:t>95580-HR IFL VS - Projekt "Digitalne, inovativne i zelene tehnologije"</w:t>
            </w:r>
          </w:p>
        </w:tc>
        <w:tc>
          <w:tcPr>
            <w:tcW w:w="884" w:type="dxa"/>
            <w:tcBorders>
              <w:top w:val="nil"/>
              <w:left w:val="nil"/>
              <w:bottom w:val="single" w:sz="4" w:space="0" w:color="auto"/>
              <w:right w:val="single" w:sz="4" w:space="0" w:color="auto"/>
            </w:tcBorders>
            <w:shd w:val="clear" w:color="auto" w:fill="auto"/>
            <w:noWrap/>
            <w:vAlign w:val="center"/>
            <w:hideMark/>
          </w:tcPr>
          <w:p w14:paraId="33888E00" w14:textId="77777777" w:rsidR="00293F62" w:rsidRPr="009548E1" w:rsidRDefault="00293F62" w:rsidP="005C7D38">
            <w:pPr>
              <w:jc w:val="center"/>
              <w:rPr>
                <w:color w:val="000000"/>
                <w:sz w:val="18"/>
                <w:szCs w:val="18"/>
              </w:rPr>
            </w:pPr>
            <w:r w:rsidRPr="009548E1">
              <w:rPr>
                <w:color w:val="000000"/>
                <w:sz w:val="18"/>
                <w:szCs w:val="18"/>
              </w:rPr>
              <w:t>IBRD</w:t>
            </w:r>
          </w:p>
        </w:tc>
        <w:tc>
          <w:tcPr>
            <w:tcW w:w="910" w:type="dxa"/>
            <w:tcBorders>
              <w:top w:val="nil"/>
              <w:left w:val="nil"/>
              <w:bottom w:val="single" w:sz="4" w:space="0" w:color="auto"/>
              <w:right w:val="single" w:sz="4" w:space="0" w:color="auto"/>
            </w:tcBorders>
            <w:shd w:val="clear" w:color="auto" w:fill="auto"/>
            <w:noWrap/>
            <w:vAlign w:val="center"/>
            <w:hideMark/>
          </w:tcPr>
          <w:p w14:paraId="18BC69B3" w14:textId="77777777" w:rsidR="00293F62" w:rsidRPr="009548E1" w:rsidRDefault="00293F62" w:rsidP="005C7D38">
            <w:pPr>
              <w:jc w:val="center"/>
              <w:rPr>
                <w:color w:val="000000"/>
                <w:sz w:val="18"/>
                <w:szCs w:val="18"/>
              </w:rPr>
            </w:pPr>
            <w:r w:rsidRPr="009548E1">
              <w:rPr>
                <w:color w:val="000000"/>
                <w:sz w:val="18"/>
                <w:szCs w:val="18"/>
              </w:rPr>
              <w:t>EUR</w:t>
            </w:r>
          </w:p>
        </w:tc>
        <w:tc>
          <w:tcPr>
            <w:tcW w:w="1883" w:type="dxa"/>
            <w:tcBorders>
              <w:top w:val="nil"/>
              <w:left w:val="nil"/>
              <w:bottom w:val="single" w:sz="4" w:space="0" w:color="auto"/>
              <w:right w:val="single" w:sz="4" w:space="0" w:color="auto"/>
            </w:tcBorders>
            <w:shd w:val="clear" w:color="auto" w:fill="auto"/>
            <w:noWrap/>
            <w:vAlign w:val="center"/>
            <w:hideMark/>
          </w:tcPr>
          <w:p w14:paraId="0F2FA763" w14:textId="77777777" w:rsidR="00293F62" w:rsidRPr="009548E1" w:rsidRDefault="00293F62" w:rsidP="005C7D38">
            <w:pPr>
              <w:jc w:val="right"/>
              <w:rPr>
                <w:color w:val="000000"/>
                <w:sz w:val="18"/>
                <w:szCs w:val="18"/>
              </w:rPr>
            </w:pPr>
            <w:r w:rsidRPr="009548E1">
              <w:rPr>
                <w:color w:val="000000"/>
                <w:sz w:val="18"/>
                <w:szCs w:val="18"/>
              </w:rPr>
              <w:t>500.000,00</w:t>
            </w:r>
          </w:p>
        </w:tc>
      </w:tr>
      <w:tr w:rsidR="00293F62" w:rsidRPr="009548E1" w14:paraId="17E7E738" w14:textId="77777777" w:rsidTr="005C7D38">
        <w:trPr>
          <w:trHeight w:val="315"/>
          <w:jc w:val="right"/>
        </w:trPr>
        <w:tc>
          <w:tcPr>
            <w:tcW w:w="996"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3CFEB22C" w14:textId="77777777" w:rsidR="00293F62" w:rsidRPr="009548E1" w:rsidRDefault="00293F62" w:rsidP="005C7D38">
            <w:pPr>
              <w:jc w:val="center"/>
              <w:rPr>
                <w:b/>
                <w:bCs/>
                <w:sz w:val="18"/>
                <w:szCs w:val="18"/>
              </w:rPr>
            </w:pPr>
            <w:r w:rsidRPr="009548E1">
              <w:rPr>
                <w:b/>
                <w:bCs/>
                <w:sz w:val="18"/>
                <w:szCs w:val="18"/>
              </w:rPr>
              <w:t>UKUPNO</w:t>
            </w:r>
          </w:p>
        </w:tc>
        <w:tc>
          <w:tcPr>
            <w:tcW w:w="4678" w:type="dxa"/>
            <w:tcBorders>
              <w:top w:val="double" w:sz="6" w:space="0" w:color="auto"/>
              <w:left w:val="nil"/>
              <w:bottom w:val="double" w:sz="6" w:space="0" w:color="auto"/>
              <w:right w:val="double" w:sz="6" w:space="0" w:color="auto"/>
            </w:tcBorders>
            <w:shd w:val="clear" w:color="auto" w:fill="auto"/>
            <w:noWrap/>
            <w:vAlign w:val="center"/>
            <w:hideMark/>
          </w:tcPr>
          <w:p w14:paraId="120621F8" w14:textId="77777777" w:rsidR="00293F62" w:rsidRPr="009548E1" w:rsidRDefault="00293F62" w:rsidP="005C7D38">
            <w:pPr>
              <w:rPr>
                <w:b/>
                <w:bCs/>
                <w:sz w:val="18"/>
                <w:szCs w:val="18"/>
              </w:rPr>
            </w:pPr>
            <w:r w:rsidRPr="009548E1">
              <w:rPr>
                <w:b/>
                <w:bCs/>
                <w:sz w:val="18"/>
                <w:szCs w:val="18"/>
              </w:rPr>
              <w:t> </w:t>
            </w:r>
          </w:p>
        </w:tc>
        <w:tc>
          <w:tcPr>
            <w:tcW w:w="884" w:type="dxa"/>
            <w:tcBorders>
              <w:top w:val="double" w:sz="6" w:space="0" w:color="auto"/>
              <w:left w:val="nil"/>
              <w:bottom w:val="double" w:sz="6" w:space="0" w:color="auto"/>
              <w:right w:val="double" w:sz="6" w:space="0" w:color="auto"/>
            </w:tcBorders>
            <w:shd w:val="clear" w:color="auto" w:fill="auto"/>
            <w:noWrap/>
            <w:vAlign w:val="center"/>
            <w:hideMark/>
          </w:tcPr>
          <w:p w14:paraId="1051F4B9" w14:textId="77777777" w:rsidR="00293F62" w:rsidRPr="009548E1" w:rsidRDefault="00293F62" w:rsidP="005C7D38">
            <w:pPr>
              <w:jc w:val="center"/>
              <w:rPr>
                <w:b/>
                <w:bCs/>
                <w:sz w:val="18"/>
                <w:szCs w:val="18"/>
              </w:rPr>
            </w:pPr>
            <w:r w:rsidRPr="009548E1">
              <w:rPr>
                <w:b/>
                <w:bCs/>
                <w:sz w:val="18"/>
                <w:szCs w:val="18"/>
              </w:rPr>
              <w:t>IBRD</w:t>
            </w:r>
          </w:p>
        </w:tc>
        <w:tc>
          <w:tcPr>
            <w:tcW w:w="910" w:type="dxa"/>
            <w:tcBorders>
              <w:top w:val="double" w:sz="6" w:space="0" w:color="auto"/>
              <w:left w:val="nil"/>
              <w:bottom w:val="double" w:sz="6" w:space="0" w:color="auto"/>
              <w:right w:val="double" w:sz="6" w:space="0" w:color="auto"/>
            </w:tcBorders>
            <w:shd w:val="clear" w:color="auto" w:fill="auto"/>
            <w:noWrap/>
            <w:vAlign w:val="center"/>
            <w:hideMark/>
          </w:tcPr>
          <w:p w14:paraId="33261794" w14:textId="77777777" w:rsidR="00293F62" w:rsidRPr="009548E1" w:rsidRDefault="00293F62" w:rsidP="005C7D38">
            <w:pPr>
              <w:jc w:val="center"/>
              <w:rPr>
                <w:b/>
                <w:bCs/>
                <w:sz w:val="18"/>
                <w:szCs w:val="18"/>
              </w:rPr>
            </w:pPr>
            <w:r w:rsidRPr="009548E1">
              <w:rPr>
                <w:b/>
                <w:bCs/>
                <w:sz w:val="18"/>
                <w:szCs w:val="18"/>
              </w:rPr>
              <w:t>EUR</w:t>
            </w:r>
          </w:p>
        </w:tc>
        <w:tc>
          <w:tcPr>
            <w:tcW w:w="1883" w:type="dxa"/>
            <w:tcBorders>
              <w:top w:val="double" w:sz="6" w:space="0" w:color="auto"/>
              <w:left w:val="nil"/>
              <w:bottom w:val="double" w:sz="6" w:space="0" w:color="auto"/>
              <w:right w:val="double" w:sz="6" w:space="0" w:color="auto"/>
            </w:tcBorders>
            <w:shd w:val="clear" w:color="auto" w:fill="auto"/>
            <w:noWrap/>
            <w:vAlign w:val="center"/>
            <w:hideMark/>
          </w:tcPr>
          <w:p w14:paraId="57634F59" w14:textId="77777777" w:rsidR="00293F62" w:rsidRPr="009548E1" w:rsidRDefault="00293F62" w:rsidP="005C7D38">
            <w:pPr>
              <w:jc w:val="right"/>
              <w:rPr>
                <w:b/>
                <w:bCs/>
                <w:sz w:val="18"/>
                <w:szCs w:val="18"/>
              </w:rPr>
            </w:pPr>
            <w:r w:rsidRPr="009548E1">
              <w:rPr>
                <w:b/>
                <w:bCs/>
                <w:sz w:val="18"/>
                <w:szCs w:val="18"/>
              </w:rPr>
              <w:t>995.294.002,43</w:t>
            </w:r>
          </w:p>
        </w:tc>
      </w:tr>
      <w:tr w:rsidR="00293F62" w:rsidRPr="009548E1" w14:paraId="7278E78B" w14:textId="77777777" w:rsidTr="005C7D38">
        <w:trPr>
          <w:trHeight w:val="315"/>
          <w:jc w:val="right"/>
        </w:trPr>
        <w:tc>
          <w:tcPr>
            <w:tcW w:w="6558" w:type="dxa"/>
            <w:gridSpan w:val="3"/>
            <w:tcBorders>
              <w:top w:val="single" w:sz="12" w:space="0" w:color="auto"/>
              <w:left w:val="single" w:sz="12" w:space="0" w:color="auto"/>
              <w:bottom w:val="single" w:sz="12" w:space="0" w:color="auto"/>
              <w:right w:val="nil"/>
            </w:tcBorders>
            <w:shd w:val="clear" w:color="auto" w:fill="auto"/>
            <w:vAlign w:val="center"/>
            <w:hideMark/>
          </w:tcPr>
          <w:p w14:paraId="369E19AC" w14:textId="77777777" w:rsidR="00293F62" w:rsidRPr="009548E1" w:rsidRDefault="00293F62" w:rsidP="005C7D38">
            <w:pPr>
              <w:rPr>
                <w:b/>
                <w:bCs/>
                <w:sz w:val="18"/>
                <w:szCs w:val="18"/>
              </w:rPr>
            </w:pPr>
            <w:r w:rsidRPr="009548E1">
              <w:rPr>
                <w:b/>
                <w:bCs/>
                <w:sz w:val="18"/>
                <w:szCs w:val="18"/>
              </w:rPr>
              <w:t>SVEUKUPNO</w:t>
            </w:r>
          </w:p>
        </w:tc>
        <w:tc>
          <w:tcPr>
            <w:tcW w:w="9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A4BBC84" w14:textId="77777777" w:rsidR="00293F62" w:rsidRPr="009548E1" w:rsidRDefault="00293F62" w:rsidP="005C7D38">
            <w:pPr>
              <w:jc w:val="center"/>
              <w:rPr>
                <w:b/>
                <w:bCs/>
                <w:sz w:val="18"/>
                <w:szCs w:val="18"/>
              </w:rPr>
            </w:pPr>
            <w:r w:rsidRPr="009548E1">
              <w:rPr>
                <w:b/>
                <w:bCs/>
                <w:sz w:val="18"/>
                <w:szCs w:val="18"/>
              </w:rPr>
              <w:t>EUR</w:t>
            </w:r>
          </w:p>
        </w:tc>
        <w:tc>
          <w:tcPr>
            <w:tcW w:w="1883" w:type="dxa"/>
            <w:tcBorders>
              <w:top w:val="single" w:sz="12" w:space="0" w:color="auto"/>
              <w:left w:val="nil"/>
              <w:bottom w:val="single" w:sz="12" w:space="0" w:color="auto"/>
              <w:right w:val="single" w:sz="12" w:space="0" w:color="auto"/>
            </w:tcBorders>
            <w:shd w:val="clear" w:color="auto" w:fill="auto"/>
            <w:noWrap/>
            <w:vAlign w:val="center"/>
            <w:hideMark/>
          </w:tcPr>
          <w:p w14:paraId="768BF668" w14:textId="77777777" w:rsidR="00293F62" w:rsidRPr="009548E1" w:rsidRDefault="00293F62" w:rsidP="005C7D38">
            <w:pPr>
              <w:jc w:val="right"/>
              <w:rPr>
                <w:b/>
                <w:bCs/>
                <w:sz w:val="18"/>
                <w:szCs w:val="18"/>
              </w:rPr>
            </w:pPr>
            <w:r w:rsidRPr="009548E1">
              <w:rPr>
                <w:b/>
                <w:bCs/>
                <w:sz w:val="18"/>
                <w:szCs w:val="18"/>
              </w:rPr>
              <w:t>1.245.784.499,13</w:t>
            </w:r>
          </w:p>
        </w:tc>
      </w:tr>
    </w:tbl>
    <w:p w14:paraId="2357B1C4" w14:textId="77777777" w:rsidR="00293F62" w:rsidRPr="009548E1" w:rsidRDefault="00293F62" w:rsidP="00293F62">
      <w:pPr>
        <w:rPr>
          <w:bCs/>
        </w:rPr>
      </w:pPr>
    </w:p>
    <w:p w14:paraId="764B5FD3" w14:textId="10577068" w:rsidR="00293F62" w:rsidRPr="009548E1" w:rsidRDefault="00E562D9" w:rsidP="00293F62">
      <w:pPr>
        <w:jc w:val="center"/>
        <w:rPr>
          <w:bCs/>
          <w:sz w:val="28"/>
          <w:szCs w:val="28"/>
        </w:rPr>
      </w:pPr>
      <w:r>
        <w:rPr>
          <w:bCs/>
          <w:sz w:val="28"/>
          <w:szCs w:val="28"/>
        </w:rPr>
        <w:t>Bilješka 27</w:t>
      </w:r>
      <w:r w:rsidR="00293F62" w:rsidRPr="009548E1">
        <w:rPr>
          <w:bCs/>
          <w:sz w:val="28"/>
          <w:szCs w:val="28"/>
        </w:rPr>
        <w:t xml:space="preserve">. </w:t>
      </w:r>
    </w:p>
    <w:p w14:paraId="44A827A0" w14:textId="77777777" w:rsidR="00293F62" w:rsidRPr="009548E1" w:rsidRDefault="00293F62" w:rsidP="00293F62">
      <w:pPr>
        <w:spacing w:after="240"/>
        <w:jc w:val="center"/>
        <w:rPr>
          <w:bCs/>
          <w:sz w:val="28"/>
          <w:szCs w:val="28"/>
        </w:rPr>
      </w:pPr>
      <w:r w:rsidRPr="009548E1">
        <w:rPr>
          <w:bCs/>
          <w:sz w:val="28"/>
          <w:szCs w:val="28"/>
        </w:rPr>
        <w:t>Šifra 2614 Obveza za kredite i zajmove od institucija i tijela EU</w:t>
      </w:r>
    </w:p>
    <w:p w14:paraId="0204F647" w14:textId="77777777" w:rsidR="00293F62" w:rsidRPr="009548E1" w:rsidRDefault="00293F62" w:rsidP="00293F62">
      <w:pPr>
        <w:jc w:val="both"/>
        <w:rPr>
          <w:bCs/>
          <w:szCs w:val="28"/>
        </w:rPr>
      </w:pPr>
      <w:r w:rsidRPr="009548E1">
        <w:rPr>
          <w:bCs/>
          <w:szCs w:val="28"/>
        </w:rPr>
        <w:t>Iznos od 2.376.892.484,64 eura na dan 31. prosinca 2023. godine odnosi se na obveze za zajmove od institucija i tijela EU.</w:t>
      </w:r>
    </w:p>
    <w:p w14:paraId="1368AA68" w14:textId="77777777" w:rsidR="00293F62" w:rsidRPr="009548E1" w:rsidRDefault="00293F62" w:rsidP="00293F62">
      <w:pPr>
        <w:jc w:val="both"/>
        <w:rPr>
          <w:bCs/>
          <w:szCs w:val="28"/>
        </w:rPr>
      </w:pPr>
      <w:r w:rsidRPr="009548E1">
        <w:rPr>
          <w:bCs/>
          <w:szCs w:val="28"/>
        </w:rPr>
        <w:t xml:space="preserve"> </w:t>
      </w:r>
    </w:p>
    <w:p w14:paraId="315E1C7E" w14:textId="77777777" w:rsidR="00293F62" w:rsidRPr="009548E1" w:rsidRDefault="00293F62" w:rsidP="00293F62">
      <w:pPr>
        <w:jc w:val="both"/>
        <w:rPr>
          <w:bCs/>
          <w:szCs w:val="28"/>
        </w:rPr>
      </w:pPr>
      <w:r w:rsidRPr="009548E1">
        <w:rPr>
          <w:bCs/>
          <w:szCs w:val="28"/>
        </w:rPr>
        <w:t>Stanje obveza u iznosu od 2.343.732.163,56 eura odnosi se na zajmove EIB, privremenu potporu Europske komisije radi smanjenja rizika od nezaposlenosti u izvanrednoj situaciji nakon izbijanja bolesti COVID-19 (SURE) te obveze prema EIB za aktivirano jamstvo za Paneuropski jamstveni fond. U navedenom iznosu, n</w:t>
      </w:r>
      <w:r w:rsidRPr="009548E1">
        <w:rPr>
          <w:bCs/>
        </w:rPr>
        <w:t>ajznačajniji dio obveza</w:t>
      </w:r>
      <w:r w:rsidRPr="009548E1">
        <w:rPr>
          <w:bCs/>
          <w:szCs w:val="28"/>
        </w:rPr>
        <w:t xml:space="preserve"> odnosi se na stanje obveze za zajmove Europske investicijske banke (EIB) i privremene potpore Europske komisije radi smanjenja rizika od nezaposlenosti u izvanrednoj situaciji nakon izbijanja bolesti COVID-19 (SURE) u iznosu od 1,57 milijardi eura. Analitički prikaz ov</w:t>
      </w:r>
      <w:r>
        <w:rPr>
          <w:bCs/>
          <w:szCs w:val="28"/>
        </w:rPr>
        <w:t>ih zajmova daje se u Tablici 14</w:t>
      </w:r>
      <w:r w:rsidRPr="009548E1">
        <w:rPr>
          <w:bCs/>
        </w:rPr>
        <w:t xml:space="preserve">. </w:t>
      </w:r>
    </w:p>
    <w:p w14:paraId="0277EDE9" w14:textId="77777777" w:rsidR="00293F62" w:rsidRPr="009548E1" w:rsidRDefault="00293F62" w:rsidP="00293F62">
      <w:pPr>
        <w:jc w:val="both"/>
        <w:rPr>
          <w:bCs/>
          <w:szCs w:val="28"/>
        </w:rPr>
      </w:pPr>
    </w:p>
    <w:p w14:paraId="4DEEB8D8" w14:textId="77777777" w:rsidR="00293F62" w:rsidRPr="009548E1" w:rsidRDefault="00293F62" w:rsidP="00293F62">
      <w:pPr>
        <w:jc w:val="both"/>
        <w:rPr>
          <w:bCs/>
          <w:szCs w:val="28"/>
        </w:rPr>
      </w:pPr>
      <w:r w:rsidRPr="009548E1">
        <w:rPr>
          <w:bCs/>
          <w:szCs w:val="28"/>
        </w:rPr>
        <w:t xml:space="preserve">Dodatno, Ministarstvo financija je korisnik financijskih instrumenata u okviru NPOO koji su namijenjeni kreditiranju mikro, malih i srednjih poslovnih subjekata. U provedbi kreditiranja HBOR je u ulozi posrednika u doznačavanju kredita iz financijskih instrumenata krajnjim primateljima kredita (mikro, malim i srednjim poslovnim subjektima). U 2022. godini Ministarstvo financija isplatilo je HBOR-u sredstva za dodjele kredita po ovoj osnovi. Sukladno </w:t>
      </w:r>
      <w:proofErr w:type="spellStart"/>
      <w:r w:rsidRPr="009548E1">
        <w:rPr>
          <w:bCs/>
          <w:szCs w:val="28"/>
        </w:rPr>
        <w:t>Eurostatovom</w:t>
      </w:r>
      <w:proofErr w:type="spellEnd"/>
      <w:r w:rsidRPr="009548E1">
        <w:rPr>
          <w:bCs/>
          <w:szCs w:val="28"/>
        </w:rPr>
        <w:t xml:space="preserve"> priručniku o državnom deficitu i dugu u dijelu koji regulira postupanja po financijskim instrumentima, korisnik financijskih instrumenata isplaćena sredstva evidentira i kao obavezu prema EU, a ne kao prihod države ako je korisnik tijelo u sustavu opće države. Ministarstvo financija je stoga kao korisnik financijskih instrumenata isplaćen iznos za dodjelu kredita po osnovi financijskih instrumenata evidentiralo kao obvezu prema EU. Prema navedenom Priručniku, obveze po toj osnovi prema tijelima EU smanjuju se u slučaju kada krajnji primatelji ne mogu vratiti zajam odnosno kredit, i u tom se slučaju za taj iznos priznaje prihod od EU. Po ovoj osnovi, stanje obaveza na 31. prosinca 2023. iznosi 33.180.702,05 eura.</w:t>
      </w:r>
    </w:p>
    <w:p w14:paraId="5A360EF6" w14:textId="77777777" w:rsidR="00293F62" w:rsidRPr="009548E1" w:rsidRDefault="00293F62" w:rsidP="00293F62">
      <w:pPr>
        <w:jc w:val="both"/>
        <w:rPr>
          <w:bCs/>
          <w:szCs w:val="28"/>
        </w:rPr>
      </w:pPr>
    </w:p>
    <w:p w14:paraId="66E8D1B3" w14:textId="77777777" w:rsidR="00293F62" w:rsidRPr="009548E1" w:rsidRDefault="00293F62" w:rsidP="00293F62">
      <w:pPr>
        <w:keepNext/>
        <w:jc w:val="both"/>
        <w:rPr>
          <w:b/>
          <w:sz w:val="20"/>
          <w:szCs w:val="20"/>
        </w:rPr>
      </w:pPr>
      <w:r>
        <w:rPr>
          <w:b/>
          <w:sz w:val="20"/>
          <w:szCs w:val="20"/>
        </w:rPr>
        <w:t>Tablica 14. Pregled obveza za kredite i zajmove od institucija i tijela EU</w:t>
      </w:r>
    </w:p>
    <w:tbl>
      <w:tblPr>
        <w:tblW w:w="9517" w:type="dxa"/>
        <w:jc w:val="center"/>
        <w:tblLook w:val="04A0" w:firstRow="1" w:lastRow="0" w:firstColumn="1" w:lastColumn="0" w:noHBand="0" w:noVBand="1"/>
      </w:tblPr>
      <w:tblGrid>
        <w:gridCol w:w="996"/>
        <w:gridCol w:w="4138"/>
        <w:gridCol w:w="967"/>
        <w:gridCol w:w="1516"/>
        <w:gridCol w:w="2050"/>
      </w:tblGrid>
      <w:tr w:rsidR="00293F62" w:rsidRPr="009548E1" w14:paraId="10B02BB1" w14:textId="77777777" w:rsidTr="005C7D38">
        <w:trPr>
          <w:trHeight w:val="945"/>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1B42B" w14:textId="77777777" w:rsidR="00293F62" w:rsidRPr="009548E1" w:rsidRDefault="00293F62" w:rsidP="005C7D38">
            <w:pPr>
              <w:jc w:val="center"/>
              <w:rPr>
                <w:b/>
                <w:bCs/>
                <w:sz w:val="20"/>
                <w:szCs w:val="20"/>
              </w:rPr>
            </w:pPr>
            <w:r w:rsidRPr="009548E1">
              <w:rPr>
                <w:b/>
                <w:bCs/>
                <w:sz w:val="20"/>
                <w:szCs w:val="20"/>
              </w:rPr>
              <w:t>Red. broj</w:t>
            </w:r>
          </w:p>
        </w:tc>
        <w:tc>
          <w:tcPr>
            <w:tcW w:w="4138" w:type="dxa"/>
            <w:tcBorders>
              <w:top w:val="single" w:sz="4" w:space="0" w:color="auto"/>
              <w:left w:val="nil"/>
              <w:bottom w:val="single" w:sz="4" w:space="0" w:color="auto"/>
              <w:right w:val="single" w:sz="4" w:space="0" w:color="auto"/>
            </w:tcBorders>
            <w:shd w:val="clear" w:color="auto" w:fill="auto"/>
            <w:noWrap/>
            <w:vAlign w:val="center"/>
            <w:hideMark/>
          </w:tcPr>
          <w:p w14:paraId="7E299DEC" w14:textId="77777777" w:rsidR="00293F62" w:rsidRPr="009548E1" w:rsidRDefault="00293F62" w:rsidP="005C7D38">
            <w:pPr>
              <w:jc w:val="center"/>
              <w:rPr>
                <w:b/>
                <w:bCs/>
                <w:sz w:val="20"/>
                <w:szCs w:val="20"/>
              </w:rPr>
            </w:pPr>
            <w:r w:rsidRPr="009548E1">
              <w:rPr>
                <w:b/>
                <w:bCs/>
                <w:sz w:val="20"/>
                <w:szCs w:val="20"/>
              </w:rPr>
              <w:t>Namjena</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1D9C71CE" w14:textId="77777777" w:rsidR="00293F62" w:rsidRPr="009548E1" w:rsidRDefault="00293F62" w:rsidP="005C7D38">
            <w:pPr>
              <w:jc w:val="center"/>
              <w:rPr>
                <w:b/>
                <w:bCs/>
                <w:sz w:val="20"/>
                <w:szCs w:val="20"/>
              </w:rPr>
            </w:pPr>
            <w:r w:rsidRPr="009548E1">
              <w:rPr>
                <w:b/>
                <w:bCs/>
                <w:sz w:val="20"/>
                <w:szCs w:val="20"/>
              </w:rPr>
              <w:t>Banka</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15C6A41C" w14:textId="77777777" w:rsidR="00293F62" w:rsidRPr="009548E1" w:rsidRDefault="00293F62" w:rsidP="005C7D38">
            <w:pPr>
              <w:jc w:val="center"/>
              <w:rPr>
                <w:b/>
                <w:bCs/>
                <w:sz w:val="20"/>
                <w:szCs w:val="20"/>
              </w:rPr>
            </w:pPr>
            <w:r w:rsidRPr="009548E1">
              <w:rPr>
                <w:b/>
                <w:bCs/>
                <w:sz w:val="20"/>
                <w:szCs w:val="20"/>
              </w:rPr>
              <w:t>Valuta</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14:paraId="00928976" w14:textId="77777777" w:rsidR="00293F62" w:rsidRPr="009548E1" w:rsidRDefault="00293F62" w:rsidP="005C7D38">
            <w:pPr>
              <w:jc w:val="center"/>
              <w:rPr>
                <w:b/>
                <w:bCs/>
                <w:sz w:val="20"/>
                <w:szCs w:val="20"/>
              </w:rPr>
            </w:pPr>
            <w:r w:rsidRPr="009548E1">
              <w:rPr>
                <w:b/>
                <w:bCs/>
                <w:sz w:val="20"/>
                <w:szCs w:val="20"/>
              </w:rPr>
              <w:t xml:space="preserve">Stanje obveza na 31.12.2023.              </w:t>
            </w:r>
          </w:p>
        </w:tc>
      </w:tr>
      <w:tr w:rsidR="00293F62" w:rsidRPr="009548E1" w14:paraId="1B81340B" w14:textId="77777777" w:rsidTr="005C7D38">
        <w:trPr>
          <w:trHeight w:val="48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88E524" w14:textId="77777777" w:rsidR="00293F62" w:rsidRPr="009548E1" w:rsidRDefault="00293F62" w:rsidP="005C7D38">
            <w:pPr>
              <w:jc w:val="center"/>
              <w:rPr>
                <w:color w:val="000000"/>
                <w:sz w:val="18"/>
                <w:szCs w:val="18"/>
              </w:rPr>
            </w:pPr>
            <w:r w:rsidRPr="009548E1">
              <w:rPr>
                <w:color w:val="000000"/>
                <w:sz w:val="18"/>
                <w:szCs w:val="18"/>
              </w:rPr>
              <w:t>1.</w:t>
            </w:r>
          </w:p>
        </w:tc>
        <w:tc>
          <w:tcPr>
            <w:tcW w:w="4138" w:type="dxa"/>
            <w:tcBorders>
              <w:top w:val="nil"/>
              <w:left w:val="nil"/>
              <w:bottom w:val="single" w:sz="4" w:space="0" w:color="auto"/>
              <w:right w:val="single" w:sz="4" w:space="0" w:color="auto"/>
            </w:tcBorders>
            <w:shd w:val="clear" w:color="auto" w:fill="auto"/>
            <w:vAlign w:val="center"/>
            <w:hideMark/>
          </w:tcPr>
          <w:p w14:paraId="0BCB7222" w14:textId="77777777" w:rsidR="00293F62" w:rsidRPr="009548E1" w:rsidRDefault="00293F62" w:rsidP="005C7D38">
            <w:pPr>
              <w:rPr>
                <w:color w:val="000000"/>
                <w:sz w:val="18"/>
                <w:szCs w:val="18"/>
              </w:rPr>
            </w:pPr>
            <w:proofErr w:type="spellStart"/>
            <w:r w:rsidRPr="009548E1">
              <w:rPr>
                <w:color w:val="000000"/>
                <w:sz w:val="18"/>
                <w:szCs w:val="18"/>
              </w:rPr>
              <w:t>FINo</w:t>
            </w:r>
            <w:proofErr w:type="spellEnd"/>
            <w:r w:rsidRPr="009548E1">
              <w:rPr>
                <w:color w:val="000000"/>
                <w:sz w:val="18"/>
                <w:szCs w:val="18"/>
              </w:rPr>
              <w:t>. 22.165 - Projekt "Obnove komunalne infrastrukture na područjima od posebne državne skrbi" (5 tranši)</w:t>
            </w:r>
          </w:p>
        </w:tc>
        <w:tc>
          <w:tcPr>
            <w:tcW w:w="967" w:type="dxa"/>
            <w:tcBorders>
              <w:top w:val="nil"/>
              <w:left w:val="nil"/>
              <w:bottom w:val="single" w:sz="4" w:space="0" w:color="auto"/>
              <w:right w:val="single" w:sz="4" w:space="0" w:color="auto"/>
            </w:tcBorders>
            <w:shd w:val="clear" w:color="auto" w:fill="auto"/>
            <w:noWrap/>
            <w:vAlign w:val="center"/>
            <w:hideMark/>
          </w:tcPr>
          <w:p w14:paraId="16E62845" w14:textId="77777777" w:rsidR="00293F62" w:rsidRPr="009548E1" w:rsidRDefault="00293F62" w:rsidP="005C7D38">
            <w:pPr>
              <w:jc w:val="center"/>
              <w:rPr>
                <w:color w:val="000000"/>
                <w:sz w:val="18"/>
                <w:szCs w:val="18"/>
              </w:rPr>
            </w:pPr>
            <w:r w:rsidRPr="009548E1">
              <w:rPr>
                <w:color w:val="000000"/>
                <w:sz w:val="18"/>
                <w:szCs w:val="18"/>
              </w:rPr>
              <w:t>EIB</w:t>
            </w:r>
          </w:p>
        </w:tc>
        <w:tc>
          <w:tcPr>
            <w:tcW w:w="1516" w:type="dxa"/>
            <w:tcBorders>
              <w:top w:val="nil"/>
              <w:left w:val="nil"/>
              <w:bottom w:val="single" w:sz="4" w:space="0" w:color="auto"/>
              <w:right w:val="single" w:sz="4" w:space="0" w:color="auto"/>
            </w:tcBorders>
            <w:shd w:val="clear" w:color="auto" w:fill="auto"/>
            <w:noWrap/>
            <w:vAlign w:val="center"/>
            <w:hideMark/>
          </w:tcPr>
          <w:p w14:paraId="16A38F19" w14:textId="77777777" w:rsidR="00293F62" w:rsidRPr="009548E1" w:rsidRDefault="00293F62" w:rsidP="005C7D38">
            <w:pPr>
              <w:jc w:val="center"/>
              <w:rPr>
                <w:color w:val="000000"/>
                <w:sz w:val="18"/>
                <w:szCs w:val="18"/>
              </w:rPr>
            </w:pPr>
            <w:r w:rsidRPr="009548E1">
              <w:rPr>
                <w:color w:val="000000"/>
                <w:sz w:val="18"/>
                <w:szCs w:val="18"/>
              </w:rPr>
              <w:t>EUR</w:t>
            </w:r>
          </w:p>
        </w:tc>
        <w:tc>
          <w:tcPr>
            <w:tcW w:w="2050" w:type="dxa"/>
            <w:tcBorders>
              <w:top w:val="nil"/>
              <w:left w:val="nil"/>
              <w:bottom w:val="single" w:sz="4" w:space="0" w:color="auto"/>
              <w:right w:val="single" w:sz="4" w:space="0" w:color="auto"/>
            </w:tcBorders>
            <w:shd w:val="clear" w:color="auto" w:fill="auto"/>
            <w:noWrap/>
            <w:vAlign w:val="center"/>
            <w:hideMark/>
          </w:tcPr>
          <w:p w14:paraId="1BB5761F" w14:textId="77777777" w:rsidR="00293F62" w:rsidRPr="009548E1" w:rsidRDefault="00293F62" w:rsidP="005C7D38">
            <w:pPr>
              <w:jc w:val="right"/>
              <w:rPr>
                <w:color w:val="000000"/>
                <w:sz w:val="18"/>
                <w:szCs w:val="18"/>
              </w:rPr>
            </w:pPr>
            <w:r w:rsidRPr="009548E1">
              <w:rPr>
                <w:color w:val="000000"/>
                <w:sz w:val="18"/>
                <w:szCs w:val="18"/>
              </w:rPr>
              <w:t>8.339.980,96</w:t>
            </w:r>
          </w:p>
        </w:tc>
      </w:tr>
      <w:tr w:rsidR="00293F62" w:rsidRPr="009548E1" w14:paraId="1530EB25" w14:textId="77777777" w:rsidTr="005C7D38">
        <w:trPr>
          <w:trHeight w:val="48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B646FD" w14:textId="77777777" w:rsidR="00293F62" w:rsidRPr="009548E1" w:rsidRDefault="00293F62" w:rsidP="005C7D38">
            <w:pPr>
              <w:jc w:val="center"/>
              <w:rPr>
                <w:color w:val="000000"/>
                <w:sz w:val="18"/>
                <w:szCs w:val="18"/>
              </w:rPr>
            </w:pPr>
            <w:r w:rsidRPr="009548E1">
              <w:rPr>
                <w:color w:val="000000"/>
                <w:sz w:val="18"/>
                <w:szCs w:val="18"/>
              </w:rPr>
              <w:t>2.</w:t>
            </w:r>
          </w:p>
        </w:tc>
        <w:tc>
          <w:tcPr>
            <w:tcW w:w="4138" w:type="dxa"/>
            <w:tcBorders>
              <w:top w:val="nil"/>
              <w:left w:val="nil"/>
              <w:bottom w:val="single" w:sz="4" w:space="0" w:color="auto"/>
              <w:right w:val="single" w:sz="4" w:space="0" w:color="auto"/>
            </w:tcBorders>
            <w:shd w:val="clear" w:color="auto" w:fill="auto"/>
            <w:vAlign w:val="center"/>
            <w:hideMark/>
          </w:tcPr>
          <w:p w14:paraId="59CE2C34" w14:textId="77777777" w:rsidR="00293F62" w:rsidRPr="009548E1" w:rsidRDefault="00293F62" w:rsidP="005C7D38">
            <w:pPr>
              <w:rPr>
                <w:color w:val="000000"/>
                <w:sz w:val="18"/>
                <w:szCs w:val="18"/>
              </w:rPr>
            </w:pPr>
            <w:proofErr w:type="spellStart"/>
            <w:r w:rsidRPr="009548E1">
              <w:rPr>
                <w:color w:val="000000"/>
                <w:sz w:val="18"/>
                <w:szCs w:val="18"/>
              </w:rPr>
              <w:t>FINo</w:t>
            </w:r>
            <w:proofErr w:type="spellEnd"/>
            <w:r w:rsidRPr="009548E1">
              <w:rPr>
                <w:color w:val="000000"/>
                <w:sz w:val="18"/>
                <w:szCs w:val="18"/>
              </w:rPr>
              <w:t>. 22.881 - Okvirni višesektorski zajam za komunalnu infrastrukturu za Projekt - "Integralni razvoj lokalne zajednice" (6 tranši)</w:t>
            </w:r>
          </w:p>
        </w:tc>
        <w:tc>
          <w:tcPr>
            <w:tcW w:w="967" w:type="dxa"/>
            <w:tcBorders>
              <w:top w:val="nil"/>
              <w:left w:val="nil"/>
              <w:bottom w:val="single" w:sz="4" w:space="0" w:color="auto"/>
              <w:right w:val="single" w:sz="4" w:space="0" w:color="auto"/>
            </w:tcBorders>
            <w:shd w:val="clear" w:color="auto" w:fill="auto"/>
            <w:noWrap/>
            <w:vAlign w:val="center"/>
            <w:hideMark/>
          </w:tcPr>
          <w:p w14:paraId="5582ADFE" w14:textId="77777777" w:rsidR="00293F62" w:rsidRPr="009548E1" w:rsidRDefault="00293F62" w:rsidP="005C7D38">
            <w:pPr>
              <w:jc w:val="center"/>
              <w:rPr>
                <w:color w:val="000000"/>
                <w:sz w:val="18"/>
                <w:szCs w:val="18"/>
              </w:rPr>
            </w:pPr>
            <w:r w:rsidRPr="009548E1">
              <w:rPr>
                <w:color w:val="000000"/>
                <w:sz w:val="18"/>
                <w:szCs w:val="18"/>
              </w:rPr>
              <w:t>EIB</w:t>
            </w:r>
          </w:p>
        </w:tc>
        <w:tc>
          <w:tcPr>
            <w:tcW w:w="1516" w:type="dxa"/>
            <w:tcBorders>
              <w:top w:val="nil"/>
              <w:left w:val="nil"/>
              <w:bottom w:val="single" w:sz="4" w:space="0" w:color="auto"/>
              <w:right w:val="single" w:sz="4" w:space="0" w:color="auto"/>
            </w:tcBorders>
            <w:shd w:val="clear" w:color="auto" w:fill="auto"/>
            <w:noWrap/>
            <w:vAlign w:val="center"/>
            <w:hideMark/>
          </w:tcPr>
          <w:p w14:paraId="1159C0B8" w14:textId="77777777" w:rsidR="00293F62" w:rsidRPr="009548E1" w:rsidRDefault="00293F62" w:rsidP="005C7D38">
            <w:pPr>
              <w:jc w:val="center"/>
              <w:rPr>
                <w:color w:val="000000"/>
                <w:sz w:val="18"/>
                <w:szCs w:val="18"/>
              </w:rPr>
            </w:pPr>
            <w:r w:rsidRPr="009548E1">
              <w:rPr>
                <w:color w:val="000000"/>
                <w:sz w:val="18"/>
                <w:szCs w:val="18"/>
              </w:rPr>
              <w:t>EUR</w:t>
            </w:r>
          </w:p>
        </w:tc>
        <w:tc>
          <w:tcPr>
            <w:tcW w:w="2050" w:type="dxa"/>
            <w:tcBorders>
              <w:top w:val="nil"/>
              <w:left w:val="nil"/>
              <w:bottom w:val="single" w:sz="4" w:space="0" w:color="auto"/>
              <w:right w:val="single" w:sz="4" w:space="0" w:color="auto"/>
            </w:tcBorders>
            <w:shd w:val="clear" w:color="auto" w:fill="auto"/>
            <w:noWrap/>
            <w:vAlign w:val="center"/>
            <w:hideMark/>
          </w:tcPr>
          <w:p w14:paraId="3B430559" w14:textId="77777777" w:rsidR="00293F62" w:rsidRPr="009548E1" w:rsidRDefault="00293F62" w:rsidP="005C7D38">
            <w:pPr>
              <w:jc w:val="right"/>
              <w:rPr>
                <w:color w:val="000000"/>
                <w:sz w:val="18"/>
                <w:szCs w:val="18"/>
              </w:rPr>
            </w:pPr>
            <w:r w:rsidRPr="009548E1">
              <w:rPr>
                <w:color w:val="000000"/>
                <w:sz w:val="18"/>
                <w:szCs w:val="18"/>
              </w:rPr>
              <w:t>40.313.333,52</w:t>
            </w:r>
          </w:p>
        </w:tc>
      </w:tr>
      <w:tr w:rsidR="00293F62" w:rsidRPr="009548E1" w14:paraId="60973821" w14:textId="77777777" w:rsidTr="005C7D38">
        <w:trPr>
          <w:trHeight w:val="48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B9ACAE" w14:textId="77777777" w:rsidR="00293F62" w:rsidRPr="009548E1" w:rsidRDefault="00293F62" w:rsidP="005C7D38">
            <w:pPr>
              <w:jc w:val="center"/>
              <w:rPr>
                <w:color w:val="000000"/>
                <w:sz w:val="18"/>
                <w:szCs w:val="18"/>
              </w:rPr>
            </w:pPr>
            <w:r w:rsidRPr="009548E1">
              <w:rPr>
                <w:color w:val="000000"/>
                <w:sz w:val="18"/>
                <w:szCs w:val="18"/>
              </w:rPr>
              <w:t>3.</w:t>
            </w:r>
          </w:p>
        </w:tc>
        <w:tc>
          <w:tcPr>
            <w:tcW w:w="4138" w:type="dxa"/>
            <w:tcBorders>
              <w:top w:val="nil"/>
              <w:left w:val="nil"/>
              <w:bottom w:val="single" w:sz="4" w:space="0" w:color="auto"/>
              <w:right w:val="single" w:sz="4" w:space="0" w:color="auto"/>
            </w:tcBorders>
            <w:shd w:val="clear" w:color="auto" w:fill="auto"/>
            <w:vAlign w:val="center"/>
            <w:hideMark/>
          </w:tcPr>
          <w:p w14:paraId="3E225891" w14:textId="77777777" w:rsidR="00293F62" w:rsidRPr="009548E1" w:rsidRDefault="00293F62" w:rsidP="005C7D38">
            <w:pPr>
              <w:rPr>
                <w:sz w:val="18"/>
                <w:szCs w:val="18"/>
              </w:rPr>
            </w:pPr>
            <w:proofErr w:type="spellStart"/>
            <w:r w:rsidRPr="009548E1">
              <w:rPr>
                <w:sz w:val="18"/>
                <w:szCs w:val="18"/>
              </w:rPr>
              <w:t>FINo</w:t>
            </w:r>
            <w:proofErr w:type="spellEnd"/>
            <w:r w:rsidRPr="009548E1">
              <w:rPr>
                <w:sz w:val="18"/>
                <w:szCs w:val="18"/>
              </w:rPr>
              <w:t>. 25.749 - Projekt sufinanciranja EU IPA ISPA 2007-2011. (5 tranši)</w:t>
            </w:r>
          </w:p>
        </w:tc>
        <w:tc>
          <w:tcPr>
            <w:tcW w:w="967" w:type="dxa"/>
            <w:tcBorders>
              <w:top w:val="nil"/>
              <w:left w:val="nil"/>
              <w:bottom w:val="single" w:sz="4" w:space="0" w:color="auto"/>
              <w:right w:val="single" w:sz="4" w:space="0" w:color="auto"/>
            </w:tcBorders>
            <w:shd w:val="clear" w:color="auto" w:fill="auto"/>
            <w:noWrap/>
            <w:vAlign w:val="center"/>
            <w:hideMark/>
          </w:tcPr>
          <w:p w14:paraId="46AC85D9" w14:textId="77777777" w:rsidR="00293F62" w:rsidRPr="009548E1" w:rsidRDefault="00293F62" w:rsidP="005C7D38">
            <w:pPr>
              <w:jc w:val="center"/>
              <w:rPr>
                <w:color w:val="000000"/>
                <w:sz w:val="18"/>
                <w:szCs w:val="18"/>
              </w:rPr>
            </w:pPr>
            <w:r w:rsidRPr="009548E1">
              <w:rPr>
                <w:color w:val="000000"/>
                <w:sz w:val="18"/>
                <w:szCs w:val="18"/>
              </w:rPr>
              <w:t>EIB</w:t>
            </w:r>
          </w:p>
        </w:tc>
        <w:tc>
          <w:tcPr>
            <w:tcW w:w="1516" w:type="dxa"/>
            <w:tcBorders>
              <w:top w:val="nil"/>
              <w:left w:val="nil"/>
              <w:bottom w:val="single" w:sz="4" w:space="0" w:color="auto"/>
              <w:right w:val="single" w:sz="4" w:space="0" w:color="auto"/>
            </w:tcBorders>
            <w:shd w:val="clear" w:color="auto" w:fill="auto"/>
            <w:noWrap/>
            <w:vAlign w:val="center"/>
            <w:hideMark/>
          </w:tcPr>
          <w:p w14:paraId="6397A122" w14:textId="77777777" w:rsidR="00293F62" w:rsidRPr="009548E1" w:rsidRDefault="00293F62" w:rsidP="005C7D38">
            <w:pPr>
              <w:jc w:val="center"/>
              <w:rPr>
                <w:color w:val="000000"/>
                <w:sz w:val="18"/>
                <w:szCs w:val="18"/>
              </w:rPr>
            </w:pPr>
            <w:r w:rsidRPr="009548E1">
              <w:rPr>
                <w:color w:val="000000"/>
                <w:sz w:val="18"/>
                <w:szCs w:val="18"/>
              </w:rPr>
              <w:t>EUR</w:t>
            </w:r>
          </w:p>
        </w:tc>
        <w:tc>
          <w:tcPr>
            <w:tcW w:w="2050" w:type="dxa"/>
            <w:tcBorders>
              <w:top w:val="nil"/>
              <w:left w:val="nil"/>
              <w:bottom w:val="single" w:sz="4" w:space="0" w:color="auto"/>
              <w:right w:val="single" w:sz="4" w:space="0" w:color="auto"/>
            </w:tcBorders>
            <w:shd w:val="clear" w:color="auto" w:fill="auto"/>
            <w:noWrap/>
            <w:vAlign w:val="center"/>
            <w:hideMark/>
          </w:tcPr>
          <w:p w14:paraId="4B0D843F" w14:textId="77777777" w:rsidR="00293F62" w:rsidRPr="009548E1" w:rsidRDefault="00293F62" w:rsidP="005C7D38">
            <w:pPr>
              <w:jc w:val="right"/>
              <w:rPr>
                <w:color w:val="000000"/>
                <w:sz w:val="18"/>
                <w:szCs w:val="18"/>
              </w:rPr>
            </w:pPr>
            <w:r w:rsidRPr="009548E1">
              <w:rPr>
                <w:color w:val="000000"/>
                <w:sz w:val="18"/>
                <w:szCs w:val="18"/>
              </w:rPr>
              <w:t>142.093.040,58</w:t>
            </w:r>
          </w:p>
        </w:tc>
      </w:tr>
      <w:tr w:rsidR="00293F62" w:rsidRPr="009548E1" w14:paraId="7D0F3AD0" w14:textId="77777777" w:rsidTr="005C7D38">
        <w:trPr>
          <w:trHeight w:val="48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45142A0" w14:textId="77777777" w:rsidR="00293F62" w:rsidRPr="009548E1" w:rsidRDefault="00293F62" w:rsidP="005C7D38">
            <w:pPr>
              <w:jc w:val="center"/>
              <w:rPr>
                <w:color w:val="000000"/>
                <w:sz w:val="18"/>
                <w:szCs w:val="18"/>
              </w:rPr>
            </w:pPr>
            <w:r w:rsidRPr="009548E1">
              <w:rPr>
                <w:color w:val="000000"/>
                <w:sz w:val="18"/>
                <w:szCs w:val="18"/>
              </w:rPr>
              <w:t>4.</w:t>
            </w:r>
          </w:p>
        </w:tc>
        <w:tc>
          <w:tcPr>
            <w:tcW w:w="4138" w:type="dxa"/>
            <w:tcBorders>
              <w:top w:val="nil"/>
              <w:left w:val="nil"/>
              <w:bottom w:val="single" w:sz="4" w:space="0" w:color="auto"/>
              <w:right w:val="single" w:sz="4" w:space="0" w:color="auto"/>
            </w:tcBorders>
            <w:shd w:val="clear" w:color="auto" w:fill="auto"/>
            <w:vAlign w:val="center"/>
            <w:hideMark/>
          </w:tcPr>
          <w:p w14:paraId="5C75B888" w14:textId="77777777" w:rsidR="00293F62" w:rsidRPr="009548E1" w:rsidRDefault="00293F62" w:rsidP="005C7D38">
            <w:pPr>
              <w:rPr>
                <w:sz w:val="18"/>
                <w:szCs w:val="18"/>
              </w:rPr>
            </w:pPr>
            <w:proofErr w:type="spellStart"/>
            <w:r w:rsidRPr="009548E1">
              <w:rPr>
                <w:sz w:val="18"/>
                <w:szCs w:val="18"/>
              </w:rPr>
              <w:t>FINo</w:t>
            </w:r>
            <w:proofErr w:type="spellEnd"/>
            <w:r w:rsidRPr="009548E1">
              <w:rPr>
                <w:sz w:val="18"/>
                <w:szCs w:val="18"/>
              </w:rPr>
              <w:t>. 31.146 - Projekt razvoja infrastrukture na otocima i u priobalju (1 tranša)</w:t>
            </w:r>
          </w:p>
        </w:tc>
        <w:tc>
          <w:tcPr>
            <w:tcW w:w="967" w:type="dxa"/>
            <w:tcBorders>
              <w:top w:val="nil"/>
              <w:left w:val="nil"/>
              <w:bottom w:val="single" w:sz="4" w:space="0" w:color="auto"/>
              <w:right w:val="single" w:sz="4" w:space="0" w:color="auto"/>
            </w:tcBorders>
            <w:shd w:val="clear" w:color="auto" w:fill="auto"/>
            <w:noWrap/>
            <w:vAlign w:val="center"/>
            <w:hideMark/>
          </w:tcPr>
          <w:p w14:paraId="2B353364" w14:textId="77777777" w:rsidR="00293F62" w:rsidRPr="009548E1" w:rsidRDefault="00293F62" w:rsidP="005C7D38">
            <w:pPr>
              <w:jc w:val="center"/>
              <w:rPr>
                <w:color w:val="000000"/>
                <w:sz w:val="18"/>
                <w:szCs w:val="18"/>
              </w:rPr>
            </w:pPr>
            <w:r w:rsidRPr="009548E1">
              <w:rPr>
                <w:color w:val="000000"/>
                <w:sz w:val="18"/>
                <w:szCs w:val="18"/>
              </w:rPr>
              <w:t>EIB</w:t>
            </w:r>
          </w:p>
        </w:tc>
        <w:tc>
          <w:tcPr>
            <w:tcW w:w="1516" w:type="dxa"/>
            <w:tcBorders>
              <w:top w:val="nil"/>
              <w:left w:val="nil"/>
              <w:bottom w:val="single" w:sz="4" w:space="0" w:color="auto"/>
              <w:right w:val="single" w:sz="4" w:space="0" w:color="auto"/>
            </w:tcBorders>
            <w:shd w:val="clear" w:color="auto" w:fill="auto"/>
            <w:noWrap/>
            <w:vAlign w:val="center"/>
            <w:hideMark/>
          </w:tcPr>
          <w:p w14:paraId="33015214" w14:textId="77777777" w:rsidR="00293F62" w:rsidRPr="009548E1" w:rsidRDefault="00293F62" w:rsidP="005C7D38">
            <w:pPr>
              <w:jc w:val="center"/>
              <w:rPr>
                <w:color w:val="000000"/>
                <w:sz w:val="18"/>
                <w:szCs w:val="18"/>
              </w:rPr>
            </w:pPr>
            <w:r w:rsidRPr="009548E1">
              <w:rPr>
                <w:color w:val="000000"/>
                <w:sz w:val="18"/>
                <w:szCs w:val="18"/>
              </w:rPr>
              <w:t>EUR</w:t>
            </w:r>
          </w:p>
        </w:tc>
        <w:tc>
          <w:tcPr>
            <w:tcW w:w="2050" w:type="dxa"/>
            <w:tcBorders>
              <w:top w:val="nil"/>
              <w:left w:val="nil"/>
              <w:bottom w:val="single" w:sz="4" w:space="0" w:color="auto"/>
              <w:right w:val="single" w:sz="4" w:space="0" w:color="auto"/>
            </w:tcBorders>
            <w:shd w:val="clear" w:color="auto" w:fill="auto"/>
            <w:noWrap/>
            <w:vAlign w:val="center"/>
            <w:hideMark/>
          </w:tcPr>
          <w:p w14:paraId="54B69F6F" w14:textId="77777777" w:rsidR="00293F62" w:rsidRPr="009548E1" w:rsidRDefault="00293F62" w:rsidP="005C7D38">
            <w:pPr>
              <w:jc w:val="right"/>
              <w:rPr>
                <w:color w:val="000000"/>
                <w:sz w:val="18"/>
                <w:szCs w:val="18"/>
              </w:rPr>
            </w:pPr>
            <w:r w:rsidRPr="009548E1">
              <w:rPr>
                <w:color w:val="000000"/>
                <w:sz w:val="18"/>
                <w:szCs w:val="18"/>
              </w:rPr>
              <w:t>4.666.666,70</w:t>
            </w:r>
          </w:p>
        </w:tc>
      </w:tr>
      <w:tr w:rsidR="00293F62" w:rsidRPr="009548E1" w14:paraId="2BC3AA43" w14:textId="77777777" w:rsidTr="005C7D38">
        <w:trPr>
          <w:trHeight w:val="48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50476E" w14:textId="77777777" w:rsidR="00293F62" w:rsidRPr="009548E1" w:rsidRDefault="00293F62" w:rsidP="005C7D38">
            <w:pPr>
              <w:jc w:val="center"/>
              <w:rPr>
                <w:color w:val="000000"/>
                <w:sz w:val="18"/>
                <w:szCs w:val="18"/>
              </w:rPr>
            </w:pPr>
            <w:r w:rsidRPr="009548E1">
              <w:rPr>
                <w:color w:val="000000"/>
                <w:sz w:val="18"/>
                <w:szCs w:val="18"/>
              </w:rPr>
              <w:t>5.</w:t>
            </w:r>
          </w:p>
        </w:tc>
        <w:tc>
          <w:tcPr>
            <w:tcW w:w="4138" w:type="dxa"/>
            <w:tcBorders>
              <w:top w:val="nil"/>
              <w:left w:val="nil"/>
              <w:bottom w:val="single" w:sz="4" w:space="0" w:color="auto"/>
              <w:right w:val="single" w:sz="4" w:space="0" w:color="auto"/>
            </w:tcBorders>
            <w:shd w:val="clear" w:color="auto" w:fill="auto"/>
            <w:vAlign w:val="center"/>
            <w:hideMark/>
          </w:tcPr>
          <w:p w14:paraId="3ED12931" w14:textId="77777777" w:rsidR="00293F62" w:rsidRPr="009548E1" w:rsidRDefault="00293F62" w:rsidP="005C7D38">
            <w:pPr>
              <w:rPr>
                <w:sz w:val="18"/>
                <w:szCs w:val="18"/>
              </w:rPr>
            </w:pPr>
            <w:proofErr w:type="spellStart"/>
            <w:r w:rsidRPr="009548E1">
              <w:rPr>
                <w:sz w:val="18"/>
                <w:szCs w:val="18"/>
              </w:rPr>
              <w:t>FINo</w:t>
            </w:r>
            <w:proofErr w:type="spellEnd"/>
            <w:r w:rsidRPr="009548E1">
              <w:rPr>
                <w:sz w:val="18"/>
                <w:szCs w:val="18"/>
              </w:rPr>
              <w:t>. 31.176 - Projekt "Financiranje vodno-komunalne infrastrukture" (3 tranše)</w:t>
            </w:r>
          </w:p>
        </w:tc>
        <w:tc>
          <w:tcPr>
            <w:tcW w:w="967" w:type="dxa"/>
            <w:tcBorders>
              <w:top w:val="nil"/>
              <w:left w:val="nil"/>
              <w:bottom w:val="single" w:sz="4" w:space="0" w:color="auto"/>
              <w:right w:val="single" w:sz="4" w:space="0" w:color="auto"/>
            </w:tcBorders>
            <w:shd w:val="clear" w:color="auto" w:fill="auto"/>
            <w:noWrap/>
            <w:vAlign w:val="center"/>
            <w:hideMark/>
          </w:tcPr>
          <w:p w14:paraId="79261BA8" w14:textId="77777777" w:rsidR="00293F62" w:rsidRPr="009548E1" w:rsidRDefault="00293F62" w:rsidP="005C7D38">
            <w:pPr>
              <w:jc w:val="center"/>
              <w:rPr>
                <w:color w:val="000000"/>
                <w:sz w:val="18"/>
                <w:szCs w:val="18"/>
              </w:rPr>
            </w:pPr>
            <w:r w:rsidRPr="009548E1">
              <w:rPr>
                <w:color w:val="000000"/>
                <w:sz w:val="18"/>
                <w:szCs w:val="18"/>
              </w:rPr>
              <w:t>EIB</w:t>
            </w:r>
          </w:p>
        </w:tc>
        <w:tc>
          <w:tcPr>
            <w:tcW w:w="1516" w:type="dxa"/>
            <w:tcBorders>
              <w:top w:val="nil"/>
              <w:left w:val="nil"/>
              <w:bottom w:val="single" w:sz="4" w:space="0" w:color="auto"/>
              <w:right w:val="single" w:sz="4" w:space="0" w:color="auto"/>
            </w:tcBorders>
            <w:shd w:val="clear" w:color="auto" w:fill="auto"/>
            <w:noWrap/>
            <w:vAlign w:val="center"/>
            <w:hideMark/>
          </w:tcPr>
          <w:p w14:paraId="45FFFA96" w14:textId="77777777" w:rsidR="00293F62" w:rsidRPr="009548E1" w:rsidRDefault="00293F62" w:rsidP="005C7D38">
            <w:pPr>
              <w:jc w:val="center"/>
              <w:rPr>
                <w:color w:val="000000"/>
                <w:sz w:val="18"/>
                <w:szCs w:val="18"/>
              </w:rPr>
            </w:pPr>
            <w:r w:rsidRPr="009548E1">
              <w:rPr>
                <w:color w:val="000000"/>
                <w:sz w:val="18"/>
                <w:szCs w:val="18"/>
              </w:rPr>
              <w:t>EUR</w:t>
            </w:r>
          </w:p>
        </w:tc>
        <w:tc>
          <w:tcPr>
            <w:tcW w:w="2050" w:type="dxa"/>
            <w:tcBorders>
              <w:top w:val="nil"/>
              <w:left w:val="nil"/>
              <w:bottom w:val="single" w:sz="4" w:space="0" w:color="auto"/>
              <w:right w:val="single" w:sz="4" w:space="0" w:color="auto"/>
            </w:tcBorders>
            <w:shd w:val="clear" w:color="auto" w:fill="auto"/>
            <w:noWrap/>
            <w:vAlign w:val="center"/>
            <w:hideMark/>
          </w:tcPr>
          <w:p w14:paraId="083D1E64" w14:textId="77777777" w:rsidR="00293F62" w:rsidRPr="009548E1" w:rsidRDefault="00293F62" w:rsidP="005C7D38">
            <w:pPr>
              <w:jc w:val="right"/>
              <w:rPr>
                <w:color w:val="000000"/>
                <w:sz w:val="18"/>
                <w:szCs w:val="18"/>
              </w:rPr>
            </w:pPr>
            <w:r w:rsidRPr="009548E1">
              <w:rPr>
                <w:color w:val="000000"/>
                <w:sz w:val="18"/>
                <w:szCs w:val="18"/>
              </w:rPr>
              <w:t>8.825.548,53</w:t>
            </w:r>
          </w:p>
        </w:tc>
      </w:tr>
      <w:tr w:rsidR="00293F62" w:rsidRPr="009548E1" w14:paraId="07115D6D" w14:textId="77777777" w:rsidTr="005C7D38">
        <w:trPr>
          <w:trHeight w:val="48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678E35" w14:textId="77777777" w:rsidR="00293F62" w:rsidRPr="009548E1" w:rsidRDefault="00293F62" w:rsidP="005C7D38">
            <w:pPr>
              <w:jc w:val="center"/>
              <w:rPr>
                <w:color w:val="000000"/>
                <w:sz w:val="18"/>
                <w:szCs w:val="18"/>
              </w:rPr>
            </w:pPr>
            <w:r w:rsidRPr="009548E1">
              <w:rPr>
                <w:color w:val="000000"/>
                <w:sz w:val="18"/>
                <w:szCs w:val="18"/>
              </w:rPr>
              <w:t>6.</w:t>
            </w:r>
          </w:p>
        </w:tc>
        <w:tc>
          <w:tcPr>
            <w:tcW w:w="4138" w:type="dxa"/>
            <w:tcBorders>
              <w:top w:val="nil"/>
              <w:left w:val="nil"/>
              <w:bottom w:val="single" w:sz="4" w:space="0" w:color="auto"/>
              <w:right w:val="single" w:sz="4" w:space="0" w:color="auto"/>
            </w:tcBorders>
            <w:shd w:val="clear" w:color="auto" w:fill="auto"/>
            <w:vAlign w:val="center"/>
            <w:hideMark/>
          </w:tcPr>
          <w:p w14:paraId="7BC72DC4" w14:textId="77777777" w:rsidR="00293F62" w:rsidRPr="009548E1" w:rsidRDefault="00293F62" w:rsidP="005C7D38">
            <w:pPr>
              <w:rPr>
                <w:sz w:val="18"/>
                <w:szCs w:val="18"/>
              </w:rPr>
            </w:pPr>
            <w:proofErr w:type="spellStart"/>
            <w:r w:rsidRPr="009548E1">
              <w:rPr>
                <w:sz w:val="18"/>
                <w:szCs w:val="18"/>
              </w:rPr>
              <w:t>FINo</w:t>
            </w:r>
            <w:proofErr w:type="spellEnd"/>
            <w:r w:rsidRPr="009548E1">
              <w:rPr>
                <w:sz w:val="18"/>
                <w:szCs w:val="18"/>
              </w:rPr>
              <w:t>. 84.395 - Projekt nacionalnog sufinanciranja EU fondova u razdoblju od 2014. - 2020. godine (2 tranše)</w:t>
            </w:r>
          </w:p>
        </w:tc>
        <w:tc>
          <w:tcPr>
            <w:tcW w:w="967" w:type="dxa"/>
            <w:tcBorders>
              <w:top w:val="nil"/>
              <w:left w:val="nil"/>
              <w:bottom w:val="single" w:sz="4" w:space="0" w:color="auto"/>
              <w:right w:val="single" w:sz="4" w:space="0" w:color="auto"/>
            </w:tcBorders>
            <w:shd w:val="clear" w:color="auto" w:fill="auto"/>
            <w:noWrap/>
            <w:vAlign w:val="center"/>
            <w:hideMark/>
          </w:tcPr>
          <w:p w14:paraId="23339FFB" w14:textId="77777777" w:rsidR="00293F62" w:rsidRPr="009548E1" w:rsidRDefault="00293F62" w:rsidP="005C7D38">
            <w:pPr>
              <w:jc w:val="center"/>
              <w:rPr>
                <w:color w:val="000000"/>
                <w:sz w:val="18"/>
                <w:szCs w:val="18"/>
              </w:rPr>
            </w:pPr>
            <w:r w:rsidRPr="009548E1">
              <w:rPr>
                <w:color w:val="000000"/>
                <w:sz w:val="18"/>
                <w:szCs w:val="18"/>
              </w:rPr>
              <w:t>EIB</w:t>
            </w:r>
          </w:p>
        </w:tc>
        <w:tc>
          <w:tcPr>
            <w:tcW w:w="1516" w:type="dxa"/>
            <w:tcBorders>
              <w:top w:val="nil"/>
              <w:left w:val="nil"/>
              <w:bottom w:val="single" w:sz="4" w:space="0" w:color="auto"/>
              <w:right w:val="single" w:sz="4" w:space="0" w:color="auto"/>
            </w:tcBorders>
            <w:shd w:val="clear" w:color="auto" w:fill="auto"/>
            <w:noWrap/>
            <w:vAlign w:val="center"/>
            <w:hideMark/>
          </w:tcPr>
          <w:p w14:paraId="0E8D29B1" w14:textId="77777777" w:rsidR="00293F62" w:rsidRPr="009548E1" w:rsidRDefault="00293F62" w:rsidP="005C7D38">
            <w:pPr>
              <w:jc w:val="center"/>
              <w:rPr>
                <w:color w:val="000000"/>
                <w:sz w:val="18"/>
                <w:szCs w:val="18"/>
              </w:rPr>
            </w:pPr>
            <w:r w:rsidRPr="009548E1">
              <w:rPr>
                <w:color w:val="000000"/>
                <w:sz w:val="18"/>
                <w:szCs w:val="18"/>
              </w:rPr>
              <w:t>EUR</w:t>
            </w:r>
          </w:p>
        </w:tc>
        <w:tc>
          <w:tcPr>
            <w:tcW w:w="2050" w:type="dxa"/>
            <w:tcBorders>
              <w:top w:val="nil"/>
              <w:left w:val="nil"/>
              <w:bottom w:val="single" w:sz="4" w:space="0" w:color="auto"/>
              <w:right w:val="single" w:sz="4" w:space="0" w:color="auto"/>
            </w:tcBorders>
            <w:shd w:val="clear" w:color="auto" w:fill="auto"/>
            <w:noWrap/>
            <w:vAlign w:val="center"/>
            <w:hideMark/>
          </w:tcPr>
          <w:p w14:paraId="5885260B" w14:textId="77777777" w:rsidR="00293F62" w:rsidRPr="009548E1" w:rsidRDefault="00293F62" w:rsidP="005C7D38">
            <w:pPr>
              <w:jc w:val="right"/>
              <w:rPr>
                <w:color w:val="000000"/>
                <w:sz w:val="18"/>
                <w:szCs w:val="18"/>
              </w:rPr>
            </w:pPr>
            <w:r w:rsidRPr="009548E1">
              <w:rPr>
                <w:color w:val="000000"/>
                <w:sz w:val="18"/>
                <w:szCs w:val="18"/>
              </w:rPr>
              <w:t>269.250.000,00</w:t>
            </w:r>
          </w:p>
        </w:tc>
      </w:tr>
      <w:tr w:rsidR="00293F62" w:rsidRPr="009548E1" w14:paraId="683E1AA4" w14:textId="77777777" w:rsidTr="005C7D38">
        <w:trPr>
          <w:trHeight w:val="49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39C184" w14:textId="77777777" w:rsidR="00293F62" w:rsidRPr="009548E1" w:rsidRDefault="00293F62" w:rsidP="005C7D38">
            <w:pPr>
              <w:jc w:val="center"/>
              <w:rPr>
                <w:color w:val="000000"/>
                <w:sz w:val="18"/>
                <w:szCs w:val="18"/>
              </w:rPr>
            </w:pPr>
            <w:r w:rsidRPr="009548E1">
              <w:rPr>
                <w:color w:val="000000"/>
                <w:sz w:val="18"/>
                <w:szCs w:val="18"/>
              </w:rPr>
              <w:t>7.</w:t>
            </w:r>
          </w:p>
        </w:tc>
        <w:tc>
          <w:tcPr>
            <w:tcW w:w="4138" w:type="dxa"/>
            <w:tcBorders>
              <w:top w:val="nil"/>
              <w:left w:val="nil"/>
              <w:bottom w:val="single" w:sz="4" w:space="0" w:color="auto"/>
              <w:right w:val="single" w:sz="4" w:space="0" w:color="auto"/>
            </w:tcBorders>
            <w:shd w:val="clear" w:color="auto" w:fill="auto"/>
            <w:vAlign w:val="center"/>
            <w:hideMark/>
          </w:tcPr>
          <w:p w14:paraId="02C1B129" w14:textId="77777777" w:rsidR="00293F62" w:rsidRPr="009548E1" w:rsidRDefault="00293F62" w:rsidP="005C7D38">
            <w:pPr>
              <w:rPr>
                <w:sz w:val="18"/>
                <w:szCs w:val="18"/>
              </w:rPr>
            </w:pPr>
            <w:proofErr w:type="spellStart"/>
            <w:r w:rsidRPr="009548E1">
              <w:rPr>
                <w:sz w:val="18"/>
                <w:szCs w:val="18"/>
              </w:rPr>
              <w:t>FINo</w:t>
            </w:r>
            <w:proofErr w:type="spellEnd"/>
            <w:r w:rsidRPr="009548E1">
              <w:rPr>
                <w:sz w:val="18"/>
                <w:szCs w:val="18"/>
              </w:rPr>
              <w:t>. 89.118 - Projekt nacionalnog sufinanciranja EU fondova u razdoblju                                od 2014. - 2020. godine / B (2 tranše)</w:t>
            </w:r>
          </w:p>
        </w:tc>
        <w:tc>
          <w:tcPr>
            <w:tcW w:w="967" w:type="dxa"/>
            <w:tcBorders>
              <w:top w:val="nil"/>
              <w:left w:val="nil"/>
              <w:bottom w:val="single" w:sz="4" w:space="0" w:color="auto"/>
              <w:right w:val="single" w:sz="4" w:space="0" w:color="auto"/>
            </w:tcBorders>
            <w:shd w:val="clear" w:color="auto" w:fill="auto"/>
            <w:noWrap/>
            <w:vAlign w:val="center"/>
            <w:hideMark/>
          </w:tcPr>
          <w:p w14:paraId="5BB61AF4" w14:textId="77777777" w:rsidR="00293F62" w:rsidRPr="009548E1" w:rsidRDefault="00293F62" w:rsidP="005C7D38">
            <w:pPr>
              <w:jc w:val="center"/>
              <w:rPr>
                <w:color w:val="000000"/>
                <w:sz w:val="18"/>
                <w:szCs w:val="18"/>
              </w:rPr>
            </w:pPr>
            <w:r w:rsidRPr="009548E1">
              <w:rPr>
                <w:color w:val="000000"/>
                <w:sz w:val="18"/>
                <w:szCs w:val="18"/>
              </w:rPr>
              <w:t>EIB</w:t>
            </w:r>
          </w:p>
        </w:tc>
        <w:tc>
          <w:tcPr>
            <w:tcW w:w="1516" w:type="dxa"/>
            <w:tcBorders>
              <w:top w:val="nil"/>
              <w:left w:val="nil"/>
              <w:bottom w:val="single" w:sz="4" w:space="0" w:color="auto"/>
              <w:right w:val="single" w:sz="4" w:space="0" w:color="auto"/>
            </w:tcBorders>
            <w:shd w:val="clear" w:color="auto" w:fill="auto"/>
            <w:noWrap/>
            <w:vAlign w:val="center"/>
            <w:hideMark/>
          </w:tcPr>
          <w:p w14:paraId="7434F129" w14:textId="77777777" w:rsidR="00293F62" w:rsidRPr="009548E1" w:rsidRDefault="00293F62" w:rsidP="005C7D38">
            <w:pPr>
              <w:jc w:val="center"/>
              <w:rPr>
                <w:color w:val="000000"/>
                <w:sz w:val="18"/>
                <w:szCs w:val="18"/>
              </w:rPr>
            </w:pPr>
            <w:r w:rsidRPr="009548E1">
              <w:rPr>
                <w:color w:val="000000"/>
                <w:sz w:val="18"/>
                <w:szCs w:val="18"/>
              </w:rPr>
              <w:t>EUR</w:t>
            </w:r>
          </w:p>
        </w:tc>
        <w:tc>
          <w:tcPr>
            <w:tcW w:w="2050" w:type="dxa"/>
            <w:tcBorders>
              <w:top w:val="nil"/>
              <w:left w:val="nil"/>
              <w:bottom w:val="single" w:sz="4" w:space="0" w:color="auto"/>
              <w:right w:val="single" w:sz="4" w:space="0" w:color="auto"/>
            </w:tcBorders>
            <w:shd w:val="clear" w:color="auto" w:fill="auto"/>
            <w:noWrap/>
            <w:vAlign w:val="center"/>
            <w:hideMark/>
          </w:tcPr>
          <w:p w14:paraId="2E149FAA" w14:textId="77777777" w:rsidR="00293F62" w:rsidRPr="009548E1" w:rsidRDefault="00293F62" w:rsidP="005C7D38">
            <w:pPr>
              <w:jc w:val="right"/>
              <w:rPr>
                <w:color w:val="000000"/>
                <w:sz w:val="18"/>
                <w:szCs w:val="18"/>
              </w:rPr>
            </w:pPr>
            <w:r w:rsidRPr="009548E1">
              <w:rPr>
                <w:color w:val="000000"/>
                <w:sz w:val="18"/>
                <w:szCs w:val="18"/>
              </w:rPr>
              <w:t>300.000.000,00</w:t>
            </w:r>
          </w:p>
        </w:tc>
      </w:tr>
      <w:tr w:rsidR="00293F62" w:rsidRPr="009548E1" w14:paraId="6C1D1586" w14:textId="77777777" w:rsidTr="005C7D38">
        <w:trPr>
          <w:trHeight w:val="270"/>
          <w:jc w:val="center"/>
        </w:trPr>
        <w:tc>
          <w:tcPr>
            <w:tcW w:w="846"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3190F645" w14:textId="77777777" w:rsidR="00293F62" w:rsidRPr="009548E1" w:rsidRDefault="00293F62" w:rsidP="005C7D38">
            <w:pPr>
              <w:jc w:val="center"/>
              <w:rPr>
                <w:b/>
                <w:bCs/>
                <w:sz w:val="18"/>
                <w:szCs w:val="18"/>
              </w:rPr>
            </w:pPr>
            <w:r w:rsidRPr="009548E1">
              <w:rPr>
                <w:b/>
                <w:bCs/>
                <w:sz w:val="18"/>
                <w:szCs w:val="18"/>
              </w:rPr>
              <w:t>UKUPNO</w:t>
            </w:r>
          </w:p>
        </w:tc>
        <w:tc>
          <w:tcPr>
            <w:tcW w:w="4138" w:type="dxa"/>
            <w:tcBorders>
              <w:top w:val="double" w:sz="6" w:space="0" w:color="auto"/>
              <w:left w:val="nil"/>
              <w:bottom w:val="double" w:sz="6" w:space="0" w:color="auto"/>
              <w:right w:val="double" w:sz="6" w:space="0" w:color="auto"/>
            </w:tcBorders>
            <w:shd w:val="clear" w:color="auto" w:fill="auto"/>
            <w:noWrap/>
            <w:vAlign w:val="center"/>
            <w:hideMark/>
          </w:tcPr>
          <w:p w14:paraId="2144961A" w14:textId="77777777" w:rsidR="00293F62" w:rsidRPr="009548E1" w:rsidRDefault="00293F62" w:rsidP="005C7D38">
            <w:pPr>
              <w:rPr>
                <w:b/>
                <w:bCs/>
                <w:sz w:val="18"/>
                <w:szCs w:val="18"/>
              </w:rPr>
            </w:pPr>
            <w:r w:rsidRPr="009548E1">
              <w:rPr>
                <w:b/>
                <w:bCs/>
                <w:sz w:val="18"/>
                <w:szCs w:val="18"/>
              </w:rPr>
              <w:t> </w:t>
            </w:r>
          </w:p>
        </w:tc>
        <w:tc>
          <w:tcPr>
            <w:tcW w:w="967" w:type="dxa"/>
            <w:tcBorders>
              <w:top w:val="double" w:sz="6" w:space="0" w:color="auto"/>
              <w:left w:val="nil"/>
              <w:bottom w:val="double" w:sz="6" w:space="0" w:color="auto"/>
              <w:right w:val="double" w:sz="6" w:space="0" w:color="auto"/>
            </w:tcBorders>
            <w:shd w:val="clear" w:color="auto" w:fill="auto"/>
            <w:noWrap/>
            <w:vAlign w:val="center"/>
            <w:hideMark/>
          </w:tcPr>
          <w:p w14:paraId="5F3F1F89" w14:textId="77777777" w:rsidR="00293F62" w:rsidRPr="009548E1" w:rsidRDefault="00293F62" w:rsidP="005C7D38">
            <w:pPr>
              <w:jc w:val="center"/>
              <w:rPr>
                <w:b/>
                <w:bCs/>
                <w:sz w:val="18"/>
                <w:szCs w:val="18"/>
              </w:rPr>
            </w:pPr>
            <w:r w:rsidRPr="009548E1">
              <w:rPr>
                <w:b/>
                <w:bCs/>
                <w:sz w:val="18"/>
                <w:szCs w:val="18"/>
              </w:rPr>
              <w:t>EIB</w:t>
            </w:r>
          </w:p>
        </w:tc>
        <w:tc>
          <w:tcPr>
            <w:tcW w:w="1516" w:type="dxa"/>
            <w:tcBorders>
              <w:top w:val="double" w:sz="6" w:space="0" w:color="auto"/>
              <w:left w:val="nil"/>
              <w:bottom w:val="double" w:sz="6" w:space="0" w:color="auto"/>
              <w:right w:val="double" w:sz="6" w:space="0" w:color="auto"/>
            </w:tcBorders>
            <w:shd w:val="clear" w:color="auto" w:fill="auto"/>
            <w:noWrap/>
            <w:vAlign w:val="center"/>
            <w:hideMark/>
          </w:tcPr>
          <w:p w14:paraId="13A9BE89" w14:textId="77777777" w:rsidR="00293F62" w:rsidRPr="009548E1" w:rsidRDefault="00293F62" w:rsidP="005C7D38">
            <w:pPr>
              <w:jc w:val="center"/>
              <w:rPr>
                <w:b/>
                <w:bCs/>
                <w:sz w:val="18"/>
                <w:szCs w:val="18"/>
              </w:rPr>
            </w:pPr>
            <w:r w:rsidRPr="009548E1">
              <w:rPr>
                <w:b/>
                <w:bCs/>
                <w:sz w:val="18"/>
                <w:szCs w:val="18"/>
              </w:rPr>
              <w:t>EUR</w:t>
            </w:r>
          </w:p>
        </w:tc>
        <w:tc>
          <w:tcPr>
            <w:tcW w:w="2050" w:type="dxa"/>
            <w:tcBorders>
              <w:top w:val="double" w:sz="6" w:space="0" w:color="auto"/>
              <w:left w:val="nil"/>
              <w:bottom w:val="double" w:sz="6" w:space="0" w:color="auto"/>
              <w:right w:val="double" w:sz="6" w:space="0" w:color="auto"/>
            </w:tcBorders>
            <w:shd w:val="clear" w:color="auto" w:fill="auto"/>
            <w:noWrap/>
            <w:vAlign w:val="center"/>
            <w:hideMark/>
          </w:tcPr>
          <w:p w14:paraId="71FF5998" w14:textId="77777777" w:rsidR="00293F62" w:rsidRPr="009548E1" w:rsidRDefault="00293F62" w:rsidP="005C7D38">
            <w:pPr>
              <w:jc w:val="right"/>
              <w:rPr>
                <w:b/>
                <w:bCs/>
                <w:sz w:val="18"/>
                <w:szCs w:val="18"/>
              </w:rPr>
            </w:pPr>
            <w:r w:rsidRPr="009548E1">
              <w:rPr>
                <w:b/>
                <w:bCs/>
                <w:sz w:val="18"/>
                <w:szCs w:val="18"/>
              </w:rPr>
              <w:t>773.488.570,29</w:t>
            </w:r>
          </w:p>
        </w:tc>
      </w:tr>
      <w:tr w:rsidR="00293F62" w:rsidRPr="009548E1" w14:paraId="49737ABA" w14:textId="77777777" w:rsidTr="005C7D38">
        <w:trPr>
          <w:trHeight w:val="735"/>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FB8E1" w14:textId="77777777" w:rsidR="00293F62" w:rsidRPr="009548E1" w:rsidRDefault="00293F62" w:rsidP="005C7D38">
            <w:pPr>
              <w:jc w:val="center"/>
              <w:rPr>
                <w:sz w:val="18"/>
                <w:szCs w:val="18"/>
              </w:rPr>
            </w:pPr>
            <w:r w:rsidRPr="009548E1">
              <w:rPr>
                <w:sz w:val="18"/>
                <w:szCs w:val="18"/>
              </w:rPr>
              <w:t>8.</w:t>
            </w:r>
          </w:p>
        </w:tc>
        <w:tc>
          <w:tcPr>
            <w:tcW w:w="4138" w:type="dxa"/>
            <w:tcBorders>
              <w:top w:val="single" w:sz="4" w:space="0" w:color="auto"/>
              <w:left w:val="nil"/>
              <w:bottom w:val="single" w:sz="4" w:space="0" w:color="auto"/>
              <w:right w:val="single" w:sz="4" w:space="0" w:color="auto"/>
            </w:tcBorders>
            <w:shd w:val="clear" w:color="auto" w:fill="auto"/>
            <w:vAlign w:val="center"/>
            <w:hideMark/>
          </w:tcPr>
          <w:p w14:paraId="65F46BAC" w14:textId="77777777" w:rsidR="00293F62" w:rsidRPr="009548E1" w:rsidRDefault="00293F62" w:rsidP="005C7D38">
            <w:pPr>
              <w:rPr>
                <w:color w:val="000000"/>
                <w:sz w:val="18"/>
                <w:szCs w:val="18"/>
              </w:rPr>
            </w:pPr>
            <w:r w:rsidRPr="009548E1">
              <w:rPr>
                <w:color w:val="000000"/>
                <w:sz w:val="18"/>
                <w:szCs w:val="18"/>
              </w:rPr>
              <w:t>Privremena potpora radi smanjenja rizika od nezaposlenosti u izvanrednoj situaciji nakon izbijanja bolesti COVID-19 (SURE) - I. tranša</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6CD3A0D0" w14:textId="77777777" w:rsidR="00293F62" w:rsidRPr="009548E1" w:rsidRDefault="00293F62" w:rsidP="005C7D38">
            <w:pPr>
              <w:jc w:val="center"/>
              <w:rPr>
                <w:sz w:val="18"/>
                <w:szCs w:val="18"/>
              </w:rPr>
            </w:pPr>
            <w:r w:rsidRPr="009548E1">
              <w:rPr>
                <w:sz w:val="18"/>
                <w:szCs w:val="18"/>
              </w:rPr>
              <w:t>EK</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14:paraId="0DCD4B05" w14:textId="77777777" w:rsidR="00293F62" w:rsidRPr="009548E1" w:rsidRDefault="00293F62" w:rsidP="005C7D38">
            <w:pPr>
              <w:jc w:val="center"/>
              <w:rPr>
                <w:sz w:val="18"/>
                <w:szCs w:val="18"/>
              </w:rPr>
            </w:pPr>
            <w:r w:rsidRPr="009548E1">
              <w:rPr>
                <w:sz w:val="18"/>
                <w:szCs w:val="18"/>
              </w:rPr>
              <w:t>EUR</w:t>
            </w:r>
          </w:p>
        </w:tc>
        <w:tc>
          <w:tcPr>
            <w:tcW w:w="2050" w:type="dxa"/>
            <w:tcBorders>
              <w:top w:val="single" w:sz="4" w:space="0" w:color="auto"/>
              <w:left w:val="nil"/>
              <w:bottom w:val="single" w:sz="4" w:space="0" w:color="auto"/>
              <w:right w:val="single" w:sz="4" w:space="0" w:color="auto"/>
            </w:tcBorders>
            <w:shd w:val="clear" w:color="auto" w:fill="auto"/>
            <w:noWrap/>
            <w:vAlign w:val="center"/>
            <w:hideMark/>
          </w:tcPr>
          <w:p w14:paraId="17C3B13F" w14:textId="77777777" w:rsidR="00293F62" w:rsidRPr="009548E1" w:rsidRDefault="00293F62" w:rsidP="005C7D38">
            <w:pPr>
              <w:jc w:val="right"/>
              <w:rPr>
                <w:color w:val="000000"/>
                <w:sz w:val="18"/>
                <w:szCs w:val="18"/>
              </w:rPr>
            </w:pPr>
            <w:r w:rsidRPr="009548E1">
              <w:rPr>
                <w:color w:val="000000"/>
                <w:sz w:val="18"/>
                <w:szCs w:val="18"/>
              </w:rPr>
              <w:t>340.000.000,00</w:t>
            </w:r>
          </w:p>
        </w:tc>
      </w:tr>
      <w:tr w:rsidR="00293F62" w:rsidRPr="009548E1" w14:paraId="338687EF" w14:textId="77777777" w:rsidTr="005C7D38">
        <w:trPr>
          <w:trHeight w:val="72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381E4A" w14:textId="77777777" w:rsidR="00293F62" w:rsidRPr="009548E1" w:rsidRDefault="00293F62" w:rsidP="005C7D38">
            <w:pPr>
              <w:jc w:val="center"/>
              <w:rPr>
                <w:sz w:val="18"/>
                <w:szCs w:val="18"/>
              </w:rPr>
            </w:pPr>
            <w:r w:rsidRPr="009548E1">
              <w:rPr>
                <w:sz w:val="18"/>
                <w:szCs w:val="18"/>
              </w:rPr>
              <w:t>9.</w:t>
            </w:r>
          </w:p>
        </w:tc>
        <w:tc>
          <w:tcPr>
            <w:tcW w:w="4138" w:type="dxa"/>
            <w:tcBorders>
              <w:top w:val="nil"/>
              <w:left w:val="nil"/>
              <w:bottom w:val="single" w:sz="4" w:space="0" w:color="auto"/>
              <w:right w:val="single" w:sz="4" w:space="0" w:color="auto"/>
            </w:tcBorders>
            <w:shd w:val="clear" w:color="auto" w:fill="auto"/>
            <w:vAlign w:val="center"/>
            <w:hideMark/>
          </w:tcPr>
          <w:p w14:paraId="79EEEC39" w14:textId="77777777" w:rsidR="00293F62" w:rsidRPr="009548E1" w:rsidRDefault="00293F62" w:rsidP="005C7D38">
            <w:pPr>
              <w:rPr>
                <w:color w:val="000000"/>
                <w:sz w:val="18"/>
                <w:szCs w:val="18"/>
              </w:rPr>
            </w:pPr>
            <w:r w:rsidRPr="009548E1">
              <w:rPr>
                <w:color w:val="000000"/>
                <w:sz w:val="18"/>
                <w:szCs w:val="18"/>
              </w:rPr>
              <w:t>Privremena potpora radi smanjenja rizika od nezaposlenosti u izvanrednoj situaciji nakon izbijanja bolesti COVID-19 (SURE) - II. tranša</w:t>
            </w:r>
          </w:p>
        </w:tc>
        <w:tc>
          <w:tcPr>
            <w:tcW w:w="967" w:type="dxa"/>
            <w:tcBorders>
              <w:top w:val="nil"/>
              <w:left w:val="nil"/>
              <w:bottom w:val="single" w:sz="4" w:space="0" w:color="auto"/>
              <w:right w:val="single" w:sz="4" w:space="0" w:color="auto"/>
            </w:tcBorders>
            <w:shd w:val="clear" w:color="auto" w:fill="auto"/>
            <w:noWrap/>
            <w:vAlign w:val="center"/>
            <w:hideMark/>
          </w:tcPr>
          <w:p w14:paraId="5DE943E9" w14:textId="77777777" w:rsidR="00293F62" w:rsidRPr="009548E1" w:rsidRDefault="00293F62" w:rsidP="005C7D38">
            <w:pPr>
              <w:jc w:val="center"/>
              <w:rPr>
                <w:sz w:val="18"/>
                <w:szCs w:val="18"/>
              </w:rPr>
            </w:pPr>
            <w:r w:rsidRPr="009548E1">
              <w:rPr>
                <w:sz w:val="18"/>
                <w:szCs w:val="18"/>
              </w:rPr>
              <w:t>EK</w:t>
            </w:r>
          </w:p>
        </w:tc>
        <w:tc>
          <w:tcPr>
            <w:tcW w:w="1516" w:type="dxa"/>
            <w:tcBorders>
              <w:top w:val="nil"/>
              <w:left w:val="nil"/>
              <w:bottom w:val="single" w:sz="4" w:space="0" w:color="auto"/>
              <w:right w:val="single" w:sz="4" w:space="0" w:color="auto"/>
            </w:tcBorders>
            <w:shd w:val="clear" w:color="auto" w:fill="auto"/>
            <w:noWrap/>
            <w:vAlign w:val="center"/>
            <w:hideMark/>
          </w:tcPr>
          <w:p w14:paraId="58DF2F90" w14:textId="77777777" w:rsidR="00293F62" w:rsidRPr="009548E1" w:rsidRDefault="00293F62" w:rsidP="005C7D38">
            <w:pPr>
              <w:jc w:val="center"/>
              <w:rPr>
                <w:sz w:val="18"/>
                <w:szCs w:val="18"/>
              </w:rPr>
            </w:pPr>
            <w:r w:rsidRPr="009548E1">
              <w:rPr>
                <w:sz w:val="18"/>
                <w:szCs w:val="18"/>
              </w:rPr>
              <w:t>EUR</w:t>
            </w:r>
          </w:p>
        </w:tc>
        <w:tc>
          <w:tcPr>
            <w:tcW w:w="2050" w:type="dxa"/>
            <w:tcBorders>
              <w:top w:val="nil"/>
              <w:left w:val="nil"/>
              <w:bottom w:val="single" w:sz="4" w:space="0" w:color="auto"/>
              <w:right w:val="single" w:sz="4" w:space="0" w:color="auto"/>
            </w:tcBorders>
            <w:shd w:val="clear" w:color="auto" w:fill="auto"/>
            <w:noWrap/>
            <w:vAlign w:val="center"/>
            <w:hideMark/>
          </w:tcPr>
          <w:p w14:paraId="05309310" w14:textId="77777777" w:rsidR="00293F62" w:rsidRPr="009548E1" w:rsidRDefault="00293F62" w:rsidP="005C7D38">
            <w:pPr>
              <w:jc w:val="right"/>
              <w:rPr>
                <w:color w:val="000000"/>
                <w:sz w:val="18"/>
                <w:szCs w:val="18"/>
              </w:rPr>
            </w:pPr>
            <w:r w:rsidRPr="009548E1">
              <w:rPr>
                <w:color w:val="000000"/>
                <w:sz w:val="18"/>
                <w:szCs w:val="18"/>
              </w:rPr>
              <w:t>170.000.000,00</w:t>
            </w:r>
          </w:p>
        </w:tc>
      </w:tr>
      <w:tr w:rsidR="00293F62" w:rsidRPr="009548E1" w14:paraId="24EB1F19" w14:textId="77777777" w:rsidTr="005C7D38">
        <w:trPr>
          <w:trHeight w:val="72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199B5D" w14:textId="77777777" w:rsidR="00293F62" w:rsidRPr="009548E1" w:rsidRDefault="00293F62" w:rsidP="005C7D38">
            <w:pPr>
              <w:jc w:val="center"/>
              <w:rPr>
                <w:sz w:val="18"/>
                <w:szCs w:val="18"/>
              </w:rPr>
            </w:pPr>
            <w:r w:rsidRPr="009548E1">
              <w:rPr>
                <w:sz w:val="18"/>
                <w:szCs w:val="18"/>
              </w:rPr>
              <w:t>10.</w:t>
            </w:r>
          </w:p>
        </w:tc>
        <w:tc>
          <w:tcPr>
            <w:tcW w:w="4138" w:type="dxa"/>
            <w:tcBorders>
              <w:top w:val="nil"/>
              <w:left w:val="nil"/>
              <w:bottom w:val="single" w:sz="4" w:space="0" w:color="auto"/>
              <w:right w:val="single" w:sz="4" w:space="0" w:color="auto"/>
            </w:tcBorders>
            <w:shd w:val="clear" w:color="auto" w:fill="auto"/>
            <w:vAlign w:val="center"/>
            <w:hideMark/>
          </w:tcPr>
          <w:p w14:paraId="306A19D3" w14:textId="77777777" w:rsidR="00293F62" w:rsidRPr="009548E1" w:rsidRDefault="00293F62" w:rsidP="005C7D38">
            <w:pPr>
              <w:rPr>
                <w:color w:val="000000"/>
                <w:sz w:val="18"/>
                <w:szCs w:val="18"/>
              </w:rPr>
            </w:pPr>
            <w:r w:rsidRPr="009548E1">
              <w:rPr>
                <w:color w:val="000000"/>
                <w:sz w:val="18"/>
                <w:szCs w:val="18"/>
              </w:rPr>
              <w:t>Privremena potpora radi smanjenja rizika od nezaposlenosti u izvanrednoj situaciji nakon izbijanja bolesti COVID-19 (SURE) - III. tranša</w:t>
            </w:r>
          </w:p>
        </w:tc>
        <w:tc>
          <w:tcPr>
            <w:tcW w:w="967" w:type="dxa"/>
            <w:tcBorders>
              <w:top w:val="nil"/>
              <w:left w:val="nil"/>
              <w:bottom w:val="single" w:sz="4" w:space="0" w:color="auto"/>
              <w:right w:val="single" w:sz="4" w:space="0" w:color="auto"/>
            </w:tcBorders>
            <w:shd w:val="clear" w:color="auto" w:fill="auto"/>
            <w:noWrap/>
            <w:vAlign w:val="center"/>
            <w:hideMark/>
          </w:tcPr>
          <w:p w14:paraId="716D81BA" w14:textId="77777777" w:rsidR="00293F62" w:rsidRPr="009548E1" w:rsidRDefault="00293F62" w:rsidP="005C7D38">
            <w:pPr>
              <w:jc w:val="center"/>
              <w:rPr>
                <w:sz w:val="18"/>
                <w:szCs w:val="18"/>
              </w:rPr>
            </w:pPr>
            <w:r w:rsidRPr="009548E1">
              <w:rPr>
                <w:sz w:val="18"/>
                <w:szCs w:val="18"/>
              </w:rPr>
              <w:t>EK</w:t>
            </w:r>
          </w:p>
        </w:tc>
        <w:tc>
          <w:tcPr>
            <w:tcW w:w="1516" w:type="dxa"/>
            <w:tcBorders>
              <w:top w:val="nil"/>
              <w:left w:val="nil"/>
              <w:bottom w:val="single" w:sz="4" w:space="0" w:color="auto"/>
              <w:right w:val="single" w:sz="4" w:space="0" w:color="auto"/>
            </w:tcBorders>
            <w:shd w:val="clear" w:color="auto" w:fill="auto"/>
            <w:noWrap/>
            <w:vAlign w:val="center"/>
            <w:hideMark/>
          </w:tcPr>
          <w:p w14:paraId="1116A0C1" w14:textId="77777777" w:rsidR="00293F62" w:rsidRPr="009548E1" w:rsidRDefault="00293F62" w:rsidP="005C7D38">
            <w:pPr>
              <w:jc w:val="center"/>
              <w:rPr>
                <w:sz w:val="18"/>
                <w:szCs w:val="18"/>
              </w:rPr>
            </w:pPr>
            <w:r w:rsidRPr="009548E1">
              <w:rPr>
                <w:sz w:val="18"/>
                <w:szCs w:val="18"/>
              </w:rPr>
              <w:t>EUR</w:t>
            </w:r>
          </w:p>
        </w:tc>
        <w:tc>
          <w:tcPr>
            <w:tcW w:w="2050" w:type="dxa"/>
            <w:tcBorders>
              <w:top w:val="nil"/>
              <w:left w:val="nil"/>
              <w:bottom w:val="single" w:sz="4" w:space="0" w:color="auto"/>
              <w:right w:val="single" w:sz="4" w:space="0" w:color="auto"/>
            </w:tcBorders>
            <w:shd w:val="clear" w:color="auto" w:fill="auto"/>
            <w:noWrap/>
            <w:vAlign w:val="center"/>
            <w:hideMark/>
          </w:tcPr>
          <w:p w14:paraId="2C21BA0C" w14:textId="77777777" w:rsidR="00293F62" w:rsidRPr="009548E1" w:rsidRDefault="00293F62" w:rsidP="005C7D38">
            <w:pPr>
              <w:jc w:val="right"/>
              <w:rPr>
                <w:color w:val="000000"/>
                <w:sz w:val="18"/>
                <w:szCs w:val="18"/>
              </w:rPr>
            </w:pPr>
            <w:r w:rsidRPr="009548E1">
              <w:rPr>
                <w:color w:val="000000"/>
                <w:sz w:val="18"/>
                <w:szCs w:val="18"/>
              </w:rPr>
              <w:t>510.000.000,00</w:t>
            </w:r>
          </w:p>
        </w:tc>
      </w:tr>
      <w:tr w:rsidR="00293F62" w:rsidRPr="009548E1" w14:paraId="316521E4" w14:textId="77777777" w:rsidTr="005C7D38">
        <w:trPr>
          <w:trHeight w:val="73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14D985" w14:textId="77777777" w:rsidR="00293F62" w:rsidRPr="009548E1" w:rsidRDefault="00293F62" w:rsidP="005C7D38">
            <w:pPr>
              <w:jc w:val="center"/>
              <w:rPr>
                <w:sz w:val="18"/>
                <w:szCs w:val="18"/>
              </w:rPr>
            </w:pPr>
            <w:r w:rsidRPr="009548E1">
              <w:rPr>
                <w:sz w:val="18"/>
                <w:szCs w:val="18"/>
              </w:rPr>
              <w:t>11.</w:t>
            </w:r>
          </w:p>
        </w:tc>
        <w:tc>
          <w:tcPr>
            <w:tcW w:w="4138" w:type="dxa"/>
            <w:tcBorders>
              <w:top w:val="nil"/>
              <w:left w:val="nil"/>
              <w:bottom w:val="single" w:sz="4" w:space="0" w:color="auto"/>
              <w:right w:val="single" w:sz="4" w:space="0" w:color="auto"/>
            </w:tcBorders>
            <w:shd w:val="clear" w:color="auto" w:fill="auto"/>
            <w:vAlign w:val="center"/>
            <w:hideMark/>
          </w:tcPr>
          <w:p w14:paraId="19E9C28C" w14:textId="77777777" w:rsidR="00293F62" w:rsidRPr="009548E1" w:rsidRDefault="00293F62" w:rsidP="005C7D38">
            <w:pPr>
              <w:rPr>
                <w:color w:val="000000"/>
                <w:sz w:val="18"/>
                <w:szCs w:val="18"/>
              </w:rPr>
            </w:pPr>
            <w:r w:rsidRPr="009548E1">
              <w:rPr>
                <w:color w:val="000000"/>
                <w:sz w:val="18"/>
                <w:szCs w:val="18"/>
              </w:rPr>
              <w:t>Privremena potpora radi smanjenja rizika od nezaposlenosti u izvanrednoj situaciji nakon izbijanja bolesti COVID-19 (SURE) - IV. tranša</w:t>
            </w:r>
          </w:p>
        </w:tc>
        <w:tc>
          <w:tcPr>
            <w:tcW w:w="967" w:type="dxa"/>
            <w:tcBorders>
              <w:top w:val="nil"/>
              <w:left w:val="nil"/>
              <w:bottom w:val="single" w:sz="4" w:space="0" w:color="auto"/>
              <w:right w:val="single" w:sz="4" w:space="0" w:color="auto"/>
            </w:tcBorders>
            <w:shd w:val="clear" w:color="auto" w:fill="auto"/>
            <w:noWrap/>
            <w:vAlign w:val="center"/>
            <w:hideMark/>
          </w:tcPr>
          <w:p w14:paraId="37D938D2" w14:textId="77777777" w:rsidR="00293F62" w:rsidRPr="009548E1" w:rsidRDefault="00293F62" w:rsidP="005C7D38">
            <w:pPr>
              <w:jc w:val="center"/>
              <w:rPr>
                <w:sz w:val="18"/>
                <w:szCs w:val="18"/>
              </w:rPr>
            </w:pPr>
            <w:r w:rsidRPr="009548E1">
              <w:rPr>
                <w:sz w:val="18"/>
                <w:szCs w:val="18"/>
              </w:rPr>
              <w:t>EK</w:t>
            </w:r>
          </w:p>
        </w:tc>
        <w:tc>
          <w:tcPr>
            <w:tcW w:w="1516" w:type="dxa"/>
            <w:tcBorders>
              <w:top w:val="nil"/>
              <w:left w:val="nil"/>
              <w:bottom w:val="single" w:sz="4" w:space="0" w:color="auto"/>
              <w:right w:val="single" w:sz="4" w:space="0" w:color="auto"/>
            </w:tcBorders>
            <w:shd w:val="clear" w:color="auto" w:fill="auto"/>
            <w:noWrap/>
            <w:vAlign w:val="center"/>
            <w:hideMark/>
          </w:tcPr>
          <w:p w14:paraId="2365A077" w14:textId="77777777" w:rsidR="00293F62" w:rsidRPr="009548E1" w:rsidRDefault="00293F62" w:rsidP="005C7D38">
            <w:pPr>
              <w:jc w:val="center"/>
              <w:rPr>
                <w:sz w:val="18"/>
                <w:szCs w:val="18"/>
              </w:rPr>
            </w:pPr>
            <w:r w:rsidRPr="009548E1">
              <w:rPr>
                <w:sz w:val="18"/>
                <w:szCs w:val="18"/>
              </w:rPr>
              <w:t>EUR</w:t>
            </w:r>
          </w:p>
        </w:tc>
        <w:tc>
          <w:tcPr>
            <w:tcW w:w="2050" w:type="dxa"/>
            <w:tcBorders>
              <w:top w:val="nil"/>
              <w:left w:val="nil"/>
              <w:bottom w:val="single" w:sz="4" w:space="0" w:color="auto"/>
              <w:right w:val="single" w:sz="4" w:space="0" w:color="auto"/>
            </w:tcBorders>
            <w:shd w:val="clear" w:color="auto" w:fill="auto"/>
            <w:noWrap/>
            <w:vAlign w:val="center"/>
            <w:hideMark/>
          </w:tcPr>
          <w:p w14:paraId="0CC9B659" w14:textId="77777777" w:rsidR="00293F62" w:rsidRPr="009548E1" w:rsidRDefault="00293F62" w:rsidP="005C7D38">
            <w:pPr>
              <w:jc w:val="right"/>
              <w:rPr>
                <w:color w:val="000000"/>
                <w:sz w:val="18"/>
                <w:szCs w:val="18"/>
              </w:rPr>
            </w:pPr>
            <w:r w:rsidRPr="009548E1">
              <w:rPr>
                <w:color w:val="000000"/>
                <w:sz w:val="18"/>
                <w:szCs w:val="18"/>
              </w:rPr>
              <w:t>550.000.000,00</w:t>
            </w:r>
          </w:p>
        </w:tc>
      </w:tr>
      <w:tr w:rsidR="00293F62" w:rsidRPr="009548E1" w14:paraId="562FCF42" w14:textId="77777777" w:rsidTr="005C7D38">
        <w:trPr>
          <w:trHeight w:val="270"/>
          <w:jc w:val="center"/>
        </w:trPr>
        <w:tc>
          <w:tcPr>
            <w:tcW w:w="846"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0FD1EC17" w14:textId="77777777" w:rsidR="00293F62" w:rsidRPr="009548E1" w:rsidRDefault="00293F62" w:rsidP="005C7D38">
            <w:pPr>
              <w:jc w:val="center"/>
              <w:rPr>
                <w:b/>
                <w:bCs/>
                <w:sz w:val="18"/>
                <w:szCs w:val="18"/>
              </w:rPr>
            </w:pPr>
            <w:r w:rsidRPr="009548E1">
              <w:rPr>
                <w:b/>
                <w:bCs/>
                <w:sz w:val="18"/>
                <w:szCs w:val="18"/>
              </w:rPr>
              <w:t>UKUPNO</w:t>
            </w:r>
          </w:p>
        </w:tc>
        <w:tc>
          <w:tcPr>
            <w:tcW w:w="4138" w:type="dxa"/>
            <w:tcBorders>
              <w:top w:val="double" w:sz="6" w:space="0" w:color="auto"/>
              <w:left w:val="nil"/>
              <w:bottom w:val="double" w:sz="6" w:space="0" w:color="auto"/>
              <w:right w:val="double" w:sz="6" w:space="0" w:color="auto"/>
            </w:tcBorders>
            <w:shd w:val="clear" w:color="auto" w:fill="auto"/>
            <w:noWrap/>
            <w:vAlign w:val="center"/>
            <w:hideMark/>
          </w:tcPr>
          <w:p w14:paraId="035AF40B" w14:textId="77777777" w:rsidR="00293F62" w:rsidRPr="009548E1" w:rsidRDefault="00293F62" w:rsidP="005C7D38">
            <w:pPr>
              <w:rPr>
                <w:b/>
                <w:bCs/>
                <w:sz w:val="18"/>
                <w:szCs w:val="18"/>
              </w:rPr>
            </w:pPr>
            <w:r w:rsidRPr="009548E1">
              <w:rPr>
                <w:b/>
                <w:bCs/>
                <w:sz w:val="18"/>
                <w:szCs w:val="18"/>
              </w:rPr>
              <w:t> </w:t>
            </w:r>
          </w:p>
        </w:tc>
        <w:tc>
          <w:tcPr>
            <w:tcW w:w="967" w:type="dxa"/>
            <w:tcBorders>
              <w:top w:val="double" w:sz="6" w:space="0" w:color="auto"/>
              <w:left w:val="nil"/>
              <w:bottom w:val="double" w:sz="6" w:space="0" w:color="auto"/>
              <w:right w:val="double" w:sz="6" w:space="0" w:color="auto"/>
            </w:tcBorders>
            <w:shd w:val="clear" w:color="auto" w:fill="auto"/>
            <w:noWrap/>
            <w:vAlign w:val="center"/>
            <w:hideMark/>
          </w:tcPr>
          <w:p w14:paraId="5350FAA0" w14:textId="77777777" w:rsidR="00293F62" w:rsidRPr="009548E1" w:rsidRDefault="00293F62" w:rsidP="005C7D38">
            <w:pPr>
              <w:jc w:val="center"/>
              <w:rPr>
                <w:b/>
                <w:bCs/>
                <w:sz w:val="18"/>
                <w:szCs w:val="18"/>
              </w:rPr>
            </w:pPr>
            <w:r w:rsidRPr="009548E1">
              <w:rPr>
                <w:b/>
                <w:bCs/>
                <w:sz w:val="18"/>
                <w:szCs w:val="18"/>
              </w:rPr>
              <w:t>EK</w:t>
            </w:r>
          </w:p>
        </w:tc>
        <w:tc>
          <w:tcPr>
            <w:tcW w:w="1516" w:type="dxa"/>
            <w:tcBorders>
              <w:top w:val="double" w:sz="6" w:space="0" w:color="auto"/>
              <w:left w:val="nil"/>
              <w:bottom w:val="double" w:sz="6" w:space="0" w:color="auto"/>
              <w:right w:val="double" w:sz="6" w:space="0" w:color="auto"/>
            </w:tcBorders>
            <w:shd w:val="clear" w:color="auto" w:fill="auto"/>
            <w:noWrap/>
            <w:vAlign w:val="center"/>
            <w:hideMark/>
          </w:tcPr>
          <w:p w14:paraId="64ABA18B" w14:textId="77777777" w:rsidR="00293F62" w:rsidRPr="009548E1" w:rsidRDefault="00293F62" w:rsidP="005C7D38">
            <w:pPr>
              <w:jc w:val="center"/>
              <w:rPr>
                <w:b/>
                <w:bCs/>
                <w:sz w:val="18"/>
                <w:szCs w:val="18"/>
              </w:rPr>
            </w:pPr>
            <w:r w:rsidRPr="009548E1">
              <w:rPr>
                <w:b/>
                <w:bCs/>
                <w:sz w:val="18"/>
                <w:szCs w:val="18"/>
              </w:rPr>
              <w:t>EUR</w:t>
            </w:r>
          </w:p>
        </w:tc>
        <w:tc>
          <w:tcPr>
            <w:tcW w:w="2050" w:type="dxa"/>
            <w:tcBorders>
              <w:top w:val="double" w:sz="6" w:space="0" w:color="auto"/>
              <w:left w:val="nil"/>
              <w:bottom w:val="double" w:sz="6" w:space="0" w:color="auto"/>
              <w:right w:val="double" w:sz="6" w:space="0" w:color="auto"/>
            </w:tcBorders>
            <w:shd w:val="clear" w:color="auto" w:fill="auto"/>
            <w:noWrap/>
            <w:vAlign w:val="center"/>
            <w:hideMark/>
          </w:tcPr>
          <w:p w14:paraId="27612E09" w14:textId="77777777" w:rsidR="00293F62" w:rsidRPr="009548E1" w:rsidRDefault="00293F62" w:rsidP="005C7D38">
            <w:pPr>
              <w:jc w:val="right"/>
              <w:rPr>
                <w:b/>
                <w:bCs/>
                <w:sz w:val="18"/>
                <w:szCs w:val="18"/>
              </w:rPr>
            </w:pPr>
            <w:r w:rsidRPr="009548E1">
              <w:rPr>
                <w:b/>
                <w:bCs/>
                <w:sz w:val="18"/>
                <w:szCs w:val="18"/>
              </w:rPr>
              <w:t>1.570.000.000,00</w:t>
            </w:r>
          </w:p>
        </w:tc>
      </w:tr>
      <w:tr w:rsidR="00293F62" w:rsidRPr="009548E1" w14:paraId="4EF072FF" w14:textId="77777777" w:rsidTr="005C7D38">
        <w:trPr>
          <w:trHeight w:val="99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EF577" w14:textId="77777777" w:rsidR="00293F62" w:rsidRPr="009548E1" w:rsidRDefault="00293F62" w:rsidP="005C7D38">
            <w:pPr>
              <w:jc w:val="center"/>
              <w:rPr>
                <w:sz w:val="18"/>
                <w:szCs w:val="18"/>
              </w:rPr>
            </w:pPr>
            <w:r w:rsidRPr="009548E1">
              <w:rPr>
                <w:sz w:val="18"/>
                <w:szCs w:val="18"/>
              </w:rPr>
              <w:t>12.</w:t>
            </w:r>
          </w:p>
        </w:tc>
        <w:tc>
          <w:tcPr>
            <w:tcW w:w="4138" w:type="dxa"/>
            <w:tcBorders>
              <w:top w:val="single" w:sz="4" w:space="0" w:color="auto"/>
              <w:left w:val="nil"/>
              <w:bottom w:val="single" w:sz="4" w:space="0" w:color="auto"/>
              <w:right w:val="single" w:sz="4" w:space="0" w:color="auto"/>
            </w:tcBorders>
            <w:shd w:val="clear" w:color="auto" w:fill="auto"/>
            <w:vAlign w:val="center"/>
            <w:hideMark/>
          </w:tcPr>
          <w:p w14:paraId="3B8B8B94" w14:textId="77777777" w:rsidR="00293F62" w:rsidRPr="009548E1" w:rsidRDefault="00293F62" w:rsidP="005C7D38">
            <w:pPr>
              <w:rPr>
                <w:color w:val="000000"/>
                <w:sz w:val="18"/>
                <w:szCs w:val="18"/>
              </w:rPr>
            </w:pPr>
            <w:r w:rsidRPr="009548E1">
              <w:rPr>
                <w:color w:val="000000"/>
                <w:sz w:val="18"/>
                <w:szCs w:val="18"/>
              </w:rPr>
              <w:t xml:space="preserve">Pristupanje Republike Hrvatske Paneuropskom jamstvenom fondu kao odgovor na COVID-19 koji se pokreće u okviru Europske investicijske banke, kao dio odgovora EU na ekonomsku krizu izazvanu COVID-19 </w:t>
            </w:r>
            <w:proofErr w:type="spellStart"/>
            <w:r w:rsidRPr="009548E1">
              <w:rPr>
                <w:color w:val="000000"/>
                <w:sz w:val="18"/>
                <w:szCs w:val="18"/>
              </w:rPr>
              <w:t>pandemijom</w:t>
            </w:r>
            <w:proofErr w:type="spellEnd"/>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73769331" w14:textId="77777777" w:rsidR="00293F62" w:rsidRPr="009548E1" w:rsidRDefault="00293F62" w:rsidP="005C7D38">
            <w:pPr>
              <w:jc w:val="center"/>
              <w:rPr>
                <w:sz w:val="18"/>
                <w:szCs w:val="18"/>
              </w:rPr>
            </w:pPr>
            <w:r w:rsidRPr="009548E1">
              <w:rPr>
                <w:sz w:val="18"/>
                <w:szCs w:val="18"/>
              </w:rPr>
              <w:t>EIB</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14:paraId="26F9BB42" w14:textId="77777777" w:rsidR="00293F62" w:rsidRPr="009548E1" w:rsidRDefault="00293F62" w:rsidP="005C7D38">
            <w:pPr>
              <w:jc w:val="center"/>
              <w:rPr>
                <w:sz w:val="18"/>
                <w:szCs w:val="18"/>
              </w:rPr>
            </w:pPr>
            <w:r w:rsidRPr="009548E1">
              <w:rPr>
                <w:sz w:val="18"/>
                <w:szCs w:val="18"/>
              </w:rPr>
              <w:t>EUR</w:t>
            </w:r>
          </w:p>
        </w:tc>
        <w:tc>
          <w:tcPr>
            <w:tcW w:w="2050" w:type="dxa"/>
            <w:tcBorders>
              <w:top w:val="single" w:sz="4" w:space="0" w:color="auto"/>
              <w:left w:val="nil"/>
              <w:bottom w:val="single" w:sz="4" w:space="0" w:color="auto"/>
              <w:right w:val="single" w:sz="4" w:space="0" w:color="auto"/>
            </w:tcBorders>
            <w:shd w:val="clear" w:color="auto" w:fill="auto"/>
            <w:noWrap/>
            <w:vAlign w:val="center"/>
            <w:hideMark/>
          </w:tcPr>
          <w:p w14:paraId="5591A193" w14:textId="77777777" w:rsidR="00293F62" w:rsidRPr="009548E1" w:rsidRDefault="00293F62" w:rsidP="005C7D38">
            <w:pPr>
              <w:jc w:val="right"/>
              <w:rPr>
                <w:color w:val="000000"/>
                <w:sz w:val="18"/>
                <w:szCs w:val="18"/>
              </w:rPr>
            </w:pPr>
            <w:r w:rsidRPr="009548E1">
              <w:rPr>
                <w:color w:val="000000"/>
                <w:sz w:val="18"/>
                <w:szCs w:val="18"/>
              </w:rPr>
              <w:t>243.593,27</w:t>
            </w:r>
          </w:p>
        </w:tc>
      </w:tr>
      <w:tr w:rsidR="00293F62" w:rsidRPr="009548E1" w14:paraId="4021277E" w14:textId="77777777" w:rsidTr="005C7D38">
        <w:trPr>
          <w:trHeight w:val="315"/>
          <w:jc w:val="center"/>
        </w:trPr>
        <w:tc>
          <w:tcPr>
            <w:tcW w:w="846"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79787E5E" w14:textId="77777777" w:rsidR="00293F62" w:rsidRPr="009548E1" w:rsidRDefault="00293F62" w:rsidP="005C7D38">
            <w:pPr>
              <w:jc w:val="center"/>
              <w:rPr>
                <w:b/>
                <w:bCs/>
                <w:sz w:val="18"/>
                <w:szCs w:val="18"/>
              </w:rPr>
            </w:pPr>
            <w:r w:rsidRPr="009548E1">
              <w:rPr>
                <w:b/>
                <w:bCs/>
                <w:sz w:val="18"/>
                <w:szCs w:val="18"/>
              </w:rPr>
              <w:t>UKUPNO</w:t>
            </w:r>
          </w:p>
        </w:tc>
        <w:tc>
          <w:tcPr>
            <w:tcW w:w="4138" w:type="dxa"/>
            <w:tcBorders>
              <w:top w:val="double" w:sz="6" w:space="0" w:color="auto"/>
              <w:left w:val="nil"/>
              <w:bottom w:val="double" w:sz="6" w:space="0" w:color="auto"/>
              <w:right w:val="double" w:sz="6" w:space="0" w:color="auto"/>
            </w:tcBorders>
            <w:shd w:val="clear" w:color="auto" w:fill="auto"/>
            <w:noWrap/>
            <w:vAlign w:val="center"/>
            <w:hideMark/>
          </w:tcPr>
          <w:p w14:paraId="1E94E545" w14:textId="77777777" w:rsidR="00293F62" w:rsidRPr="009548E1" w:rsidRDefault="00293F62" w:rsidP="005C7D38">
            <w:pPr>
              <w:rPr>
                <w:b/>
                <w:bCs/>
                <w:sz w:val="18"/>
                <w:szCs w:val="18"/>
              </w:rPr>
            </w:pPr>
            <w:r w:rsidRPr="009548E1">
              <w:rPr>
                <w:b/>
                <w:bCs/>
                <w:sz w:val="18"/>
                <w:szCs w:val="18"/>
              </w:rPr>
              <w:t> </w:t>
            </w:r>
          </w:p>
        </w:tc>
        <w:tc>
          <w:tcPr>
            <w:tcW w:w="967" w:type="dxa"/>
            <w:tcBorders>
              <w:top w:val="double" w:sz="6" w:space="0" w:color="auto"/>
              <w:left w:val="nil"/>
              <w:bottom w:val="double" w:sz="6" w:space="0" w:color="auto"/>
              <w:right w:val="double" w:sz="6" w:space="0" w:color="auto"/>
            </w:tcBorders>
            <w:shd w:val="clear" w:color="auto" w:fill="auto"/>
            <w:noWrap/>
            <w:vAlign w:val="center"/>
            <w:hideMark/>
          </w:tcPr>
          <w:p w14:paraId="512C4B20" w14:textId="77777777" w:rsidR="00293F62" w:rsidRPr="009548E1" w:rsidRDefault="00293F62" w:rsidP="005C7D38">
            <w:pPr>
              <w:jc w:val="center"/>
              <w:rPr>
                <w:b/>
                <w:bCs/>
                <w:sz w:val="18"/>
                <w:szCs w:val="18"/>
              </w:rPr>
            </w:pPr>
            <w:r w:rsidRPr="009548E1">
              <w:rPr>
                <w:b/>
                <w:bCs/>
                <w:sz w:val="18"/>
                <w:szCs w:val="18"/>
              </w:rPr>
              <w:t>EIB</w:t>
            </w:r>
          </w:p>
        </w:tc>
        <w:tc>
          <w:tcPr>
            <w:tcW w:w="1516" w:type="dxa"/>
            <w:tcBorders>
              <w:top w:val="double" w:sz="6" w:space="0" w:color="auto"/>
              <w:left w:val="nil"/>
              <w:bottom w:val="double" w:sz="6" w:space="0" w:color="auto"/>
              <w:right w:val="double" w:sz="6" w:space="0" w:color="auto"/>
            </w:tcBorders>
            <w:shd w:val="clear" w:color="auto" w:fill="auto"/>
            <w:noWrap/>
            <w:vAlign w:val="center"/>
            <w:hideMark/>
          </w:tcPr>
          <w:p w14:paraId="2B4AFA45" w14:textId="77777777" w:rsidR="00293F62" w:rsidRPr="009548E1" w:rsidRDefault="00293F62" w:rsidP="005C7D38">
            <w:pPr>
              <w:jc w:val="center"/>
              <w:rPr>
                <w:b/>
                <w:bCs/>
                <w:sz w:val="18"/>
                <w:szCs w:val="18"/>
              </w:rPr>
            </w:pPr>
            <w:r w:rsidRPr="009548E1">
              <w:rPr>
                <w:b/>
                <w:bCs/>
                <w:sz w:val="18"/>
                <w:szCs w:val="18"/>
              </w:rPr>
              <w:t>EUR</w:t>
            </w:r>
          </w:p>
        </w:tc>
        <w:tc>
          <w:tcPr>
            <w:tcW w:w="2050" w:type="dxa"/>
            <w:tcBorders>
              <w:top w:val="double" w:sz="6" w:space="0" w:color="auto"/>
              <w:left w:val="nil"/>
              <w:bottom w:val="double" w:sz="6" w:space="0" w:color="auto"/>
              <w:right w:val="double" w:sz="6" w:space="0" w:color="auto"/>
            </w:tcBorders>
            <w:shd w:val="clear" w:color="auto" w:fill="auto"/>
            <w:noWrap/>
            <w:vAlign w:val="center"/>
            <w:hideMark/>
          </w:tcPr>
          <w:p w14:paraId="766FF544" w14:textId="77777777" w:rsidR="00293F62" w:rsidRPr="009548E1" w:rsidRDefault="00293F62" w:rsidP="005C7D38">
            <w:pPr>
              <w:jc w:val="right"/>
              <w:rPr>
                <w:b/>
                <w:bCs/>
                <w:sz w:val="18"/>
                <w:szCs w:val="18"/>
              </w:rPr>
            </w:pPr>
            <w:r w:rsidRPr="009548E1">
              <w:rPr>
                <w:b/>
                <w:bCs/>
                <w:sz w:val="18"/>
                <w:szCs w:val="18"/>
              </w:rPr>
              <w:t>243.593,27</w:t>
            </w:r>
          </w:p>
        </w:tc>
      </w:tr>
      <w:tr w:rsidR="00293F62" w:rsidRPr="009548E1" w14:paraId="2E2D74D1" w14:textId="77777777" w:rsidTr="005C7D38">
        <w:trPr>
          <w:trHeight w:val="315"/>
          <w:jc w:val="center"/>
        </w:trPr>
        <w:tc>
          <w:tcPr>
            <w:tcW w:w="5951"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2F4D4EE" w14:textId="77777777" w:rsidR="00293F62" w:rsidRPr="009548E1" w:rsidRDefault="00293F62" w:rsidP="005C7D38">
            <w:pPr>
              <w:rPr>
                <w:rFonts w:ascii="Arial" w:hAnsi="Arial" w:cs="Arial"/>
                <w:b/>
                <w:bCs/>
                <w:sz w:val="20"/>
                <w:szCs w:val="20"/>
              </w:rPr>
            </w:pPr>
            <w:r w:rsidRPr="009548E1">
              <w:rPr>
                <w:rFonts w:ascii="Arial" w:hAnsi="Arial" w:cs="Arial"/>
                <w:b/>
                <w:bCs/>
                <w:sz w:val="20"/>
                <w:szCs w:val="20"/>
              </w:rPr>
              <w:t>SVEUKUPNO</w:t>
            </w:r>
          </w:p>
        </w:tc>
        <w:tc>
          <w:tcPr>
            <w:tcW w:w="1516" w:type="dxa"/>
            <w:tcBorders>
              <w:top w:val="single" w:sz="12" w:space="0" w:color="auto"/>
              <w:left w:val="nil"/>
              <w:bottom w:val="single" w:sz="12" w:space="0" w:color="auto"/>
              <w:right w:val="single" w:sz="12" w:space="0" w:color="auto"/>
            </w:tcBorders>
            <w:shd w:val="clear" w:color="auto" w:fill="auto"/>
            <w:noWrap/>
            <w:vAlign w:val="center"/>
            <w:hideMark/>
          </w:tcPr>
          <w:p w14:paraId="1599853B" w14:textId="77777777" w:rsidR="00293F62" w:rsidRPr="009548E1" w:rsidRDefault="00293F62" w:rsidP="005C7D38">
            <w:pPr>
              <w:jc w:val="center"/>
              <w:rPr>
                <w:rFonts w:ascii="Arial" w:hAnsi="Arial" w:cs="Arial"/>
                <w:b/>
                <w:bCs/>
                <w:sz w:val="20"/>
                <w:szCs w:val="20"/>
              </w:rPr>
            </w:pPr>
            <w:r w:rsidRPr="009548E1">
              <w:rPr>
                <w:rFonts w:ascii="Arial" w:hAnsi="Arial" w:cs="Arial"/>
                <w:b/>
                <w:bCs/>
                <w:sz w:val="20"/>
                <w:szCs w:val="20"/>
              </w:rPr>
              <w:t>EUR</w:t>
            </w:r>
          </w:p>
        </w:tc>
        <w:tc>
          <w:tcPr>
            <w:tcW w:w="2050" w:type="dxa"/>
            <w:tcBorders>
              <w:top w:val="single" w:sz="12" w:space="0" w:color="auto"/>
              <w:left w:val="nil"/>
              <w:bottom w:val="single" w:sz="12" w:space="0" w:color="auto"/>
              <w:right w:val="single" w:sz="12" w:space="0" w:color="auto"/>
            </w:tcBorders>
            <w:shd w:val="clear" w:color="auto" w:fill="auto"/>
            <w:noWrap/>
            <w:vAlign w:val="center"/>
            <w:hideMark/>
          </w:tcPr>
          <w:p w14:paraId="3D98E8F3" w14:textId="77777777" w:rsidR="00293F62" w:rsidRPr="009548E1" w:rsidRDefault="00293F62" w:rsidP="005C7D38">
            <w:pPr>
              <w:jc w:val="right"/>
              <w:rPr>
                <w:rFonts w:ascii="Arial" w:hAnsi="Arial" w:cs="Arial"/>
                <w:b/>
                <w:bCs/>
                <w:sz w:val="20"/>
                <w:szCs w:val="20"/>
              </w:rPr>
            </w:pPr>
            <w:r w:rsidRPr="009548E1">
              <w:rPr>
                <w:rFonts w:ascii="Arial" w:hAnsi="Arial" w:cs="Arial"/>
                <w:b/>
                <w:bCs/>
                <w:sz w:val="20"/>
                <w:szCs w:val="20"/>
              </w:rPr>
              <w:t>2.343.732.163,56</w:t>
            </w:r>
          </w:p>
        </w:tc>
      </w:tr>
    </w:tbl>
    <w:p w14:paraId="20E734CB" w14:textId="77777777" w:rsidR="00293F62" w:rsidRPr="009548E1" w:rsidRDefault="00293F62" w:rsidP="00293F62">
      <w:pPr>
        <w:rPr>
          <w:bCs/>
        </w:rPr>
      </w:pPr>
    </w:p>
    <w:p w14:paraId="60E1126E" w14:textId="31AA74C0" w:rsidR="00293F62" w:rsidRPr="009548E1" w:rsidRDefault="00E562D9" w:rsidP="00293F62">
      <w:pPr>
        <w:jc w:val="center"/>
        <w:rPr>
          <w:bCs/>
          <w:sz w:val="28"/>
          <w:szCs w:val="28"/>
        </w:rPr>
      </w:pPr>
      <w:r>
        <w:rPr>
          <w:bCs/>
          <w:sz w:val="28"/>
          <w:szCs w:val="28"/>
        </w:rPr>
        <w:t>Bilješka 28</w:t>
      </w:r>
      <w:r w:rsidR="00293F62" w:rsidRPr="009548E1">
        <w:rPr>
          <w:bCs/>
          <w:sz w:val="28"/>
          <w:szCs w:val="28"/>
        </w:rPr>
        <w:t>.</w:t>
      </w:r>
    </w:p>
    <w:p w14:paraId="358CF920" w14:textId="77777777" w:rsidR="00293F62" w:rsidRPr="009548E1" w:rsidRDefault="00293F62" w:rsidP="00293F62">
      <w:pPr>
        <w:spacing w:after="240"/>
        <w:jc w:val="center"/>
        <w:rPr>
          <w:bCs/>
          <w:sz w:val="28"/>
          <w:szCs w:val="28"/>
        </w:rPr>
      </w:pPr>
      <w:r w:rsidRPr="009548E1">
        <w:rPr>
          <w:bCs/>
          <w:sz w:val="28"/>
          <w:szCs w:val="28"/>
        </w:rPr>
        <w:t xml:space="preserve">Šifra 2615 Obveze za zajmove od inozemnih vlada u EU </w:t>
      </w:r>
    </w:p>
    <w:p w14:paraId="7C3E216E" w14:textId="77777777" w:rsidR="00293F62" w:rsidRPr="009548E1" w:rsidRDefault="00293F62" w:rsidP="00293F62">
      <w:pPr>
        <w:keepNext/>
        <w:jc w:val="both"/>
        <w:rPr>
          <w:bCs/>
        </w:rPr>
      </w:pPr>
      <w:r w:rsidRPr="009548E1">
        <w:rPr>
          <w:bCs/>
        </w:rPr>
        <w:t>Iznos od 35.108.766,40 eura na dan 31. prosinca 2023. godine čine obveze za zajmove od inozemnih vlada u EU čij</w:t>
      </w:r>
      <w:r>
        <w:rPr>
          <w:bCs/>
        </w:rPr>
        <w:t>a analitika je dana u Tablici 15</w:t>
      </w:r>
      <w:r w:rsidRPr="009548E1">
        <w:rPr>
          <w:bCs/>
        </w:rPr>
        <w:t>.</w:t>
      </w:r>
    </w:p>
    <w:p w14:paraId="76956CDF" w14:textId="77777777" w:rsidR="00293F62" w:rsidRPr="009548E1" w:rsidRDefault="00293F62" w:rsidP="00293F62">
      <w:pPr>
        <w:jc w:val="both"/>
        <w:rPr>
          <w:bCs/>
          <w:szCs w:val="28"/>
        </w:rPr>
      </w:pPr>
    </w:p>
    <w:p w14:paraId="5D7EA736" w14:textId="77777777" w:rsidR="00293F62" w:rsidRPr="009548E1" w:rsidRDefault="00293F62" w:rsidP="00293F62">
      <w:pPr>
        <w:jc w:val="both"/>
        <w:rPr>
          <w:rFonts w:cstheme="minorHAnsi"/>
          <w:bCs/>
        </w:rPr>
      </w:pPr>
      <w:r w:rsidRPr="009548E1">
        <w:rPr>
          <w:rFonts w:cstheme="minorHAnsi"/>
          <w:bCs/>
        </w:rPr>
        <w:t>Obveza za zajam u iznosu od</w:t>
      </w:r>
      <w:r w:rsidRPr="009548E1">
        <w:rPr>
          <w:rFonts w:cstheme="minorHAnsi"/>
        </w:rPr>
        <w:t xml:space="preserve"> </w:t>
      </w:r>
      <w:r w:rsidRPr="009548E1">
        <w:rPr>
          <w:rFonts w:cstheme="minorHAnsi"/>
          <w:bCs/>
        </w:rPr>
        <w:t>34.960.093,67 eura odnosi se na zajam koji je 1956. godine odobren Narodnoj banci Jugoslavije, a čiji je dio temeljem sporazuma o preuzimanju duga po Pariškom klubu prema vjerovniku Saveznoj Republici Njemačkoj, preuzela Republika Hrvatska u iznosu od originalno 68.376.000 DEM beskamatno s dospijećem 10. ožujka 2055. godine.</w:t>
      </w:r>
    </w:p>
    <w:p w14:paraId="5EE1BABA" w14:textId="77777777" w:rsidR="00293F62" w:rsidRPr="009548E1" w:rsidRDefault="00293F62" w:rsidP="00293F62">
      <w:pPr>
        <w:jc w:val="both"/>
        <w:rPr>
          <w:rFonts w:cstheme="minorHAnsi"/>
          <w:bCs/>
        </w:rPr>
      </w:pPr>
    </w:p>
    <w:p w14:paraId="14C551EE" w14:textId="77777777" w:rsidR="00293F62" w:rsidRPr="009548E1" w:rsidRDefault="00293F62" w:rsidP="00293F62">
      <w:pPr>
        <w:keepNext/>
        <w:jc w:val="both"/>
        <w:rPr>
          <w:b/>
          <w:sz w:val="20"/>
          <w:szCs w:val="20"/>
        </w:rPr>
      </w:pPr>
      <w:r>
        <w:rPr>
          <w:b/>
          <w:sz w:val="20"/>
          <w:szCs w:val="20"/>
        </w:rPr>
        <w:t>Tablica 15. Pregled obveza za zajmove od inozemnih vlada u EU</w:t>
      </w:r>
    </w:p>
    <w:tbl>
      <w:tblPr>
        <w:tblW w:w="6746" w:type="dxa"/>
        <w:jc w:val="center"/>
        <w:tblLook w:val="04A0" w:firstRow="1" w:lastRow="0" w:firstColumn="1" w:lastColumn="0" w:noHBand="0" w:noVBand="1"/>
      </w:tblPr>
      <w:tblGrid>
        <w:gridCol w:w="910"/>
        <w:gridCol w:w="3196"/>
        <w:gridCol w:w="860"/>
        <w:gridCol w:w="1780"/>
      </w:tblGrid>
      <w:tr w:rsidR="00293F62" w:rsidRPr="009548E1" w14:paraId="00829E14" w14:textId="77777777" w:rsidTr="005C7D38">
        <w:trPr>
          <w:trHeight w:val="799"/>
          <w:jc w:val="center"/>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4E190" w14:textId="77777777" w:rsidR="00293F62" w:rsidRPr="009548E1" w:rsidRDefault="00293F62" w:rsidP="005C7D38">
            <w:pPr>
              <w:jc w:val="center"/>
              <w:rPr>
                <w:b/>
                <w:bCs/>
                <w:sz w:val="16"/>
                <w:szCs w:val="16"/>
              </w:rPr>
            </w:pPr>
            <w:r w:rsidRPr="009548E1">
              <w:rPr>
                <w:b/>
                <w:bCs/>
                <w:sz w:val="16"/>
                <w:szCs w:val="16"/>
              </w:rPr>
              <w:t>Red. broj</w:t>
            </w:r>
          </w:p>
        </w:tc>
        <w:tc>
          <w:tcPr>
            <w:tcW w:w="3196" w:type="dxa"/>
            <w:tcBorders>
              <w:top w:val="single" w:sz="4" w:space="0" w:color="auto"/>
              <w:left w:val="nil"/>
              <w:bottom w:val="single" w:sz="4" w:space="0" w:color="auto"/>
              <w:right w:val="single" w:sz="4" w:space="0" w:color="auto"/>
            </w:tcBorders>
            <w:shd w:val="clear" w:color="auto" w:fill="auto"/>
            <w:noWrap/>
            <w:vAlign w:val="center"/>
            <w:hideMark/>
          </w:tcPr>
          <w:p w14:paraId="17AE43CE" w14:textId="77777777" w:rsidR="00293F62" w:rsidRPr="009548E1" w:rsidRDefault="00293F62" w:rsidP="005C7D38">
            <w:pPr>
              <w:jc w:val="center"/>
              <w:rPr>
                <w:b/>
                <w:bCs/>
                <w:sz w:val="20"/>
                <w:szCs w:val="16"/>
              </w:rPr>
            </w:pPr>
            <w:r w:rsidRPr="009548E1">
              <w:rPr>
                <w:b/>
                <w:bCs/>
                <w:sz w:val="20"/>
                <w:szCs w:val="16"/>
              </w:rPr>
              <w:t>Namjena</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36BFE4B" w14:textId="77777777" w:rsidR="00293F62" w:rsidRPr="009548E1" w:rsidRDefault="00293F62" w:rsidP="005C7D38">
            <w:pPr>
              <w:jc w:val="center"/>
              <w:rPr>
                <w:b/>
                <w:bCs/>
                <w:sz w:val="16"/>
                <w:szCs w:val="16"/>
              </w:rPr>
            </w:pPr>
            <w:r w:rsidRPr="009548E1">
              <w:rPr>
                <w:b/>
                <w:bCs/>
                <w:sz w:val="16"/>
                <w:szCs w:val="16"/>
              </w:rPr>
              <w:t>Valuta</w:t>
            </w:r>
          </w:p>
        </w:tc>
        <w:tc>
          <w:tcPr>
            <w:tcW w:w="1780" w:type="dxa"/>
            <w:tcBorders>
              <w:top w:val="single" w:sz="4" w:space="0" w:color="auto"/>
              <w:left w:val="nil"/>
              <w:bottom w:val="nil"/>
              <w:right w:val="single" w:sz="4" w:space="0" w:color="auto"/>
            </w:tcBorders>
            <w:shd w:val="clear" w:color="auto" w:fill="auto"/>
            <w:vAlign w:val="center"/>
            <w:hideMark/>
          </w:tcPr>
          <w:p w14:paraId="31074F86" w14:textId="77777777" w:rsidR="00293F62" w:rsidRPr="009548E1" w:rsidRDefault="00293F62" w:rsidP="005C7D38">
            <w:pPr>
              <w:jc w:val="center"/>
              <w:rPr>
                <w:b/>
                <w:bCs/>
                <w:sz w:val="20"/>
                <w:szCs w:val="16"/>
              </w:rPr>
            </w:pPr>
            <w:r w:rsidRPr="009548E1">
              <w:rPr>
                <w:b/>
                <w:bCs/>
                <w:sz w:val="20"/>
                <w:szCs w:val="16"/>
              </w:rPr>
              <w:t xml:space="preserve">Stanje obveza na 31.12.2023. </w:t>
            </w:r>
          </w:p>
        </w:tc>
      </w:tr>
      <w:tr w:rsidR="00293F62" w:rsidRPr="009548E1" w14:paraId="6F291196" w14:textId="77777777" w:rsidTr="005C7D38">
        <w:trPr>
          <w:trHeight w:val="270"/>
          <w:jc w:val="center"/>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2DF702F0" w14:textId="77777777" w:rsidR="00293F62" w:rsidRPr="009548E1" w:rsidRDefault="00293F62" w:rsidP="005C7D38">
            <w:pPr>
              <w:jc w:val="center"/>
              <w:rPr>
                <w:sz w:val="16"/>
                <w:szCs w:val="16"/>
              </w:rPr>
            </w:pPr>
            <w:r w:rsidRPr="009548E1">
              <w:rPr>
                <w:sz w:val="16"/>
                <w:szCs w:val="16"/>
              </w:rPr>
              <w:t>1.</w:t>
            </w:r>
          </w:p>
        </w:tc>
        <w:tc>
          <w:tcPr>
            <w:tcW w:w="3196" w:type="dxa"/>
            <w:tcBorders>
              <w:top w:val="nil"/>
              <w:left w:val="nil"/>
              <w:bottom w:val="single" w:sz="4" w:space="0" w:color="auto"/>
              <w:right w:val="single" w:sz="4" w:space="0" w:color="auto"/>
            </w:tcBorders>
            <w:shd w:val="clear" w:color="auto" w:fill="auto"/>
            <w:noWrap/>
            <w:vAlign w:val="bottom"/>
            <w:hideMark/>
          </w:tcPr>
          <w:p w14:paraId="78388854" w14:textId="77777777" w:rsidR="00293F62" w:rsidRPr="009548E1" w:rsidRDefault="00293F62" w:rsidP="005C7D38">
            <w:pPr>
              <w:rPr>
                <w:sz w:val="20"/>
                <w:szCs w:val="16"/>
              </w:rPr>
            </w:pPr>
            <w:r w:rsidRPr="009548E1">
              <w:rPr>
                <w:sz w:val="20"/>
                <w:szCs w:val="16"/>
              </w:rPr>
              <w:t xml:space="preserve">Kraljevina Belgija </w:t>
            </w:r>
            <w:proofErr w:type="spellStart"/>
            <w:r w:rsidRPr="009548E1">
              <w:rPr>
                <w:sz w:val="20"/>
                <w:szCs w:val="16"/>
              </w:rPr>
              <w:t>Loan</w:t>
            </w:r>
            <w:proofErr w:type="spellEnd"/>
          </w:p>
        </w:tc>
        <w:tc>
          <w:tcPr>
            <w:tcW w:w="860" w:type="dxa"/>
            <w:tcBorders>
              <w:top w:val="nil"/>
              <w:left w:val="nil"/>
              <w:bottom w:val="single" w:sz="4" w:space="0" w:color="auto"/>
              <w:right w:val="single" w:sz="4" w:space="0" w:color="auto"/>
            </w:tcBorders>
            <w:shd w:val="clear" w:color="auto" w:fill="auto"/>
            <w:noWrap/>
            <w:vAlign w:val="bottom"/>
            <w:hideMark/>
          </w:tcPr>
          <w:p w14:paraId="2BD2ED60" w14:textId="77777777" w:rsidR="00293F62" w:rsidRPr="009548E1" w:rsidRDefault="00293F62" w:rsidP="005C7D38">
            <w:pPr>
              <w:jc w:val="center"/>
              <w:rPr>
                <w:sz w:val="16"/>
                <w:szCs w:val="16"/>
              </w:rPr>
            </w:pPr>
            <w:r w:rsidRPr="009548E1">
              <w:rPr>
                <w:sz w:val="16"/>
                <w:szCs w:val="16"/>
              </w:rPr>
              <w:t>EUR</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55E9387E" w14:textId="77777777" w:rsidR="00293F62" w:rsidRPr="009548E1" w:rsidRDefault="00293F62" w:rsidP="005C7D38">
            <w:pPr>
              <w:jc w:val="right"/>
              <w:rPr>
                <w:sz w:val="20"/>
                <w:szCs w:val="16"/>
              </w:rPr>
            </w:pPr>
            <w:r w:rsidRPr="009548E1">
              <w:rPr>
                <w:sz w:val="20"/>
                <w:szCs w:val="16"/>
              </w:rPr>
              <w:t>148.672,73</w:t>
            </w:r>
          </w:p>
        </w:tc>
      </w:tr>
      <w:tr w:rsidR="00293F62" w:rsidRPr="009548E1" w14:paraId="0303C217" w14:textId="77777777" w:rsidTr="005C7D38">
        <w:trPr>
          <w:trHeight w:val="270"/>
          <w:jc w:val="center"/>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1594A334" w14:textId="77777777" w:rsidR="00293F62" w:rsidRPr="009548E1" w:rsidRDefault="00293F62" w:rsidP="005C7D38">
            <w:pPr>
              <w:jc w:val="center"/>
              <w:rPr>
                <w:sz w:val="16"/>
                <w:szCs w:val="16"/>
              </w:rPr>
            </w:pPr>
            <w:r w:rsidRPr="009548E1">
              <w:rPr>
                <w:sz w:val="16"/>
                <w:szCs w:val="16"/>
              </w:rPr>
              <w:t>2.</w:t>
            </w:r>
          </w:p>
        </w:tc>
        <w:tc>
          <w:tcPr>
            <w:tcW w:w="3196" w:type="dxa"/>
            <w:tcBorders>
              <w:top w:val="nil"/>
              <w:left w:val="nil"/>
              <w:bottom w:val="single" w:sz="4" w:space="0" w:color="auto"/>
              <w:right w:val="single" w:sz="4" w:space="0" w:color="auto"/>
            </w:tcBorders>
            <w:shd w:val="clear" w:color="auto" w:fill="auto"/>
            <w:noWrap/>
            <w:vAlign w:val="bottom"/>
            <w:hideMark/>
          </w:tcPr>
          <w:p w14:paraId="0245B12D" w14:textId="77777777" w:rsidR="00293F62" w:rsidRPr="009548E1" w:rsidRDefault="00293F62" w:rsidP="005C7D38">
            <w:pPr>
              <w:rPr>
                <w:sz w:val="20"/>
                <w:szCs w:val="16"/>
              </w:rPr>
            </w:pPr>
            <w:r w:rsidRPr="009548E1">
              <w:rPr>
                <w:sz w:val="20"/>
                <w:szCs w:val="16"/>
              </w:rPr>
              <w:t>Paris Club - 2055</w:t>
            </w:r>
          </w:p>
        </w:tc>
        <w:tc>
          <w:tcPr>
            <w:tcW w:w="860" w:type="dxa"/>
            <w:tcBorders>
              <w:top w:val="nil"/>
              <w:left w:val="nil"/>
              <w:bottom w:val="single" w:sz="4" w:space="0" w:color="auto"/>
              <w:right w:val="single" w:sz="4" w:space="0" w:color="auto"/>
            </w:tcBorders>
            <w:shd w:val="clear" w:color="auto" w:fill="auto"/>
            <w:noWrap/>
            <w:vAlign w:val="bottom"/>
            <w:hideMark/>
          </w:tcPr>
          <w:p w14:paraId="46AAB010" w14:textId="77777777" w:rsidR="00293F62" w:rsidRPr="009548E1" w:rsidRDefault="00293F62" w:rsidP="005C7D38">
            <w:pPr>
              <w:jc w:val="center"/>
              <w:rPr>
                <w:sz w:val="16"/>
                <w:szCs w:val="16"/>
              </w:rPr>
            </w:pPr>
            <w:r w:rsidRPr="009548E1">
              <w:rPr>
                <w:sz w:val="16"/>
                <w:szCs w:val="16"/>
              </w:rPr>
              <w:t>EUR</w:t>
            </w:r>
          </w:p>
        </w:tc>
        <w:tc>
          <w:tcPr>
            <w:tcW w:w="1780" w:type="dxa"/>
            <w:tcBorders>
              <w:top w:val="nil"/>
              <w:left w:val="nil"/>
              <w:bottom w:val="single" w:sz="4" w:space="0" w:color="auto"/>
              <w:right w:val="single" w:sz="4" w:space="0" w:color="auto"/>
            </w:tcBorders>
            <w:shd w:val="clear" w:color="auto" w:fill="auto"/>
            <w:noWrap/>
            <w:vAlign w:val="bottom"/>
            <w:hideMark/>
          </w:tcPr>
          <w:p w14:paraId="1D312FCE" w14:textId="77777777" w:rsidR="00293F62" w:rsidRPr="009548E1" w:rsidRDefault="00293F62" w:rsidP="005C7D38">
            <w:pPr>
              <w:jc w:val="right"/>
              <w:rPr>
                <w:sz w:val="20"/>
                <w:szCs w:val="16"/>
              </w:rPr>
            </w:pPr>
            <w:r w:rsidRPr="009548E1">
              <w:rPr>
                <w:sz w:val="20"/>
                <w:szCs w:val="16"/>
              </w:rPr>
              <w:t>34.960.093,67</w:t>
            </w:r>
          </w:p>
        </w:tc>
      </w:tr>
      <w:tr w:rsidR="00293F62" w:rsidRPr="009548E1" w14:paraId="59581893" w14:textId="77777777" w:rsidTr="005C7D38">
        <w:trPr>
          <w:trHeight w:val="270"/>
          <w:jc w:val="center"/>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98E13" w14:textId="77777777" w:rsidR="00293F62" w:rsidRPr="009548E1" w:rsidRDefault="00293F62" w:rsidP="005C7D38">
            <w:pPr>
              <w:jc w:val="center"/>
              <w:rPr>
                <w:b/>
                <w:bCs/>
                <w:sz w:val="16"/>
                <w:szCs w:val="16"/>
              </w:rPr>
            </w:pPr>
          </w:p>
        </w:tc>
        <w:tc>
          <w:tcPr>
            <w:tcW w:w="3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C3EB4" w14:textId="77777777" w:rsidR="00293F62" w:rsidRPr="009548E1" w:rsidRDefault="00293F62" w:rsidP="005C7D38">
            <w:pPr>
              <w:rPr>
                <w:sz w:val="16"/>
                <w:szCs w:val="16"/>
              </w:rPr>
            </w:pPr>
            <w:r w:rsidRPr="009548E1">
              <w:rPr>
                <w:sz w:val="16"/>
                <w:szCs w:val="16"/>
              </w:rPr>
              <w:t> </w:t>
            </w:r>
            <w:r w:rsidRPr="009548E1">
              <w:rPr>
                <w:b/>
                <w:bCs/>
                <w:sz w:val="16"/>
                <w:szCs w:val="16"/>
              </w:rPr>
              <w:t>UKUPNO</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E5B07" w14:textId="77777777" w:rsidR="00293F62" w:rsidRPr="009548E1" w:rsidRDefault="00293F62" w:rsidP="005C7D38">
            <w:pPr>
              <w:jc w:val="center"/>
              <w:rPr>
                <w:b/>
                <w:bCs/>
                <w:sz w:val="16"/>
                <w:szCs w:val="16"/>
              </w:rPr>
            </w:pPr>
            <w:r w:rsidRPr="009548E1">
              <w:rPr>
                <w:b/>
                <w:bCs/>
                <w:sz w:val="16"/>
                <w:szCs w:val="16"/>
              </w:rPr>
              <w:t>EUR</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6FB00" w14:textId="77777777" w:rsidR="00293F62" w:rsidRPr="009548E1" w:rsidRDefault="00293F62" w:rsidP="005C7D38">
            <w:pPr>
              <w:jc w:val="right"/>
              <w:rPr>
                <w:b/>
                <w:bCs/>
                <w:sz w:val="20"/>
                <w:szCs w:val="16"/>
              </w:rPr>
            </w:pPr>
            <w:r w:rsidRPr="009548E1">
              <w:rPr>
                <w:b/>
                <w:bCs/>
                <w:sz w:val="20"/>
                <w:szCs w:val="16"/>
              </w:rPr>
              <w:t>35.108.766,40</w:t>
            </w:r>
          </w:p>
        </w:tc>
      </w:tr>
    </w:tbl>
    <w:p w14:paraId="23B3969F" w14:textId="77777777" w:rsidR="00293F62" w:rsidRDefault="00293F62" w:rsidP="00293F62">
      <w:pPr>
        <w:keepNext/>
        <w:jc w:val="center"/>
        <w:rPr>
          <w:bCs/>
          <w:sz w:val="28"/>
          <w:szCs w:val="28"/>
        </w:rPr>
      </w:pPr>
    </w:p>
    <w:p w14:paraId="3BA615B9" w14:textId="2F1407DC" w:rsidR="00293F62" w:rsidRPr="009548E1" w:rsidRDefault="00E562D9" w:rsidP="00293F62">
      <w:pPr>
        <w:keepNext/>
        <w:jc w:val="center"/>
        <w:rPr>
          <w:bCs/>
          <w:sz w:val="28"/>
          <w:szCs w:val="28"/>
        </w:rPr>
      </w:pPr>
      <w:r>
        <w:rPr>
          <w:bCs/>
          <w:sz w:val="28"/>
          <w:szCs w:val="28"/>
        </w:rPr>
        <w:t>Bilješka 29</w:t>
      </w:r>
      <w:r w:rsidR="00293F62" w:rsidRPr="009548E1">
        <w:rPr>
          <w:bCs/>
          <w:sz w:val="28"/>
          <w:szCs w:val="28"/>
        </w:rPr>
        <w:t>.</w:t>
      </w:r>
    </w:p>
    <w:p w14:paraId="6D9C2A61" w14:textId="77777777" w:rsidR="00293F62" w:rsidRPr="009548E1" w:rsidRDefault="00293F62" w:rsidP="00293F62">
      <w:pPr>
        <w:keepNext/>
        <w:spacing w:after="240"/>
        <w:jc w:val="center"/>
        <w:rPr>
          <w:bCs/>
          <w:sz w:val="28"/>
          <w:szCs w:val="28"/>
        </w:rPr>
      </w:pPr>
      <w:r w:rsidRPr="009548E1">
        <w:rPr>
          <w:bCs/>
          <w:sz w:val="28"/>
          <w:szCs w:val="28"/>
        </w:rPr>
        <w:t>Šifra 29 Odgođeno plaćanje rashoda i prihodi budućih razdoblja</w:t>
      </w:r>
    </w:p>
    <w:p w14:paraId="1B12B2B8" w14:textId="77777777" w:rsidR="00293F62" w:rsidRDefault="00293F62" w:rsidP="00293F62">
      <w:pPr>
        <w:keepNext/>
        <w:jc w:val="both"/>
        <w:rPr>
          <w:bCs/>
        </w:rPr>
      </w:pPr>
      <w:r>
        <w:rPr>
          <w:bCs/>
        </w:rPr>
        <w:t xml:space="preserve">Na šifri 29 </w:t>
      </w:r>
      <w:r w:rsidRPr="004561FA">
        <w:rPr>
          <w:bCs/>
          <w:i/>
        </w:rPr>
        <w:t>Odgođeno plaćanje rashoda i prihodi budućih razdoblja</w:t>
      </w:r>
      <w:r w:rsidRPr="009548E1">
        <w:rPr>
          <w:bCs/>
        </w:rPr>
        <w:t xml:space="preserve"> na </w:t>
      </w:r>
      <w:r>
        <w:rPr>
          <w:bCs/>
        </w:rPr>
        <w:t xml:space="preserve">dan </w:t>
      </w:r>
      <w:r w:rsidRPr="009548E1">
        <w:rPr>
          <w:bCs/>
        </w:rPr>
        <w:t xml:space="preserve">31. prosinca 2023. godine </w:t>
      </w:r>
      <w:r>
        <w:rPr>
          <w:bCs/>
        </w:rPr>
        <w:t xml:space="preserve">iskazan je iznos od </w:t>
      </w:r>
      <w:r w:rsidRPr="004561FA">
        <w:rPr>
          <w:bCs/>
        </w:rPr>
        <w:t>2.142.984.278,90</w:t>
      </w:r>
      <w:r>
        <w:rPr>
          <w:bCs/>
        </w:rPr>
        <w:t xml:space="preserve"> eura koji se odnosi na:</w:t>
      </w:r>
    </w:p>
    <w:p w14:paraId="375EEA7A" w14:textId="77777777" w:rsidR="00293F62" w:rsidRPr="004561FA" w:rsidRDefault="00293F62" w:rsidP="00293F62">
      <w:pPr>
        <w:pStyle w:val="Odlomakpopisa"/>
        <w:keepNext/>
        <w:numPr>
          <w:ilvl w:val="0"/>
          <w:numId w:val="22"/>
        </w:numPr>
        <w:ind w:left="426" w:firstLine="0"/>
        <w:jc w:val="both"/>
        <w:rPr>
          <w:bCs/>
        </w:rPr>
      </w:pPr>
      <w:r>
        <w:rPr>
          <w:bCs/>
        </w:rPr>
        <w:t xml:space="preserve">unaprijed naplaćene prihoda iz Nacionalnog plana za oporavak i otpornost u iznosu od 2.073.774.581,68 eura, </w:t>
      </w:r>
    </w:p>
    <w:p w14:paraId="4F56158C" w14:textId="77777777" w:rsidR="00293F62" w:rsidRDefault="00293F62" w:rsidP="00293F62">
      <w:pPr>
        <w:pStyle w:val="Odlomakpopisa"/>
        <w:keepNext/>
        <w:numPr>
          <w:ilvl w:val="0"/>
          <w:numId w:val="22"/>
        </w:numPr>
        <w:ind w:left="426" w:firstLine="0"/>
        <w:jc w:val="both"/>
        <w:rPr>
          <w:bCs/>
        </w:rPr>
      </w:pPr>
      <w:r>
        <w:rPr>
          <w:bCs/>
        </w:rPr>
        <w:t xml:space="preserve">odgođeno priznavanje prihoda za </w:t>
      </w:r>
      <w:r w:rsidRPr="004561FA">
        <w:rPr>
          <w:bCs/>
        </w:rPr>
        <w:t>premiju na obveznice</w:t>
      </w:r>
      <w:r>
        <w:rPr>
          <w:bCs/>
        </w:rPr>
        <w:t xml:space="preserve"> u iznosu od 60.484.707,11 eura,</w:t>
      </w:r>
    </w:p>
    <w:p w14:paraId="348583C9" w14:textId="77777777" w:rsidR="00293F62" w:rsidRDefault="00293F62" w:rsidP="00293F62">
      <w:pPr>
        <w:pStyle w:val="Odlomakpopisa"/>
        <w:keepNext/>
        <w:numPr>
          <w:ilvl w:val="0"/>
          <w:numId w:val="22"/>
        </w:numPr>
        <w:ind w:left="426" w:firstLine="0"/>
        <w:jc w:val="both"/>
        <w:rPr>
          <w:bCs/>
        </w:rPr>
      </w:pPr>
      <w:r>
        <w:rPr>
          <w:bCs/>
        </w:rPr>
        <w:t xml:space="preserve">odgođeno priznavanje prihoda za </w:t>
      </w:r>
      <w:r w:rsidRPr="004561FA">
        <w:rPr>
          <w:bCs/>
        </w:rPr>
        <w:t xml:space="preserve">premiju za </w:t>
      </w:r>
      <w:r w:rsidRPr="009548E1">
        <w:t>instrument SURE Europske unij</w:t>
      </w:r>
      <w:r>
        <w:t>e u i</w:t>
      </w:r>
      <w:r>
        <w:rPr>
          <w:bCs/>
        </w:rPr>
        <w:t>znosu od 8.724.400,00 eura.</w:t>
      </w:r>
    </w:p>
    <w:p w14:paraId="011D8D64" w14:textId="77777777" w:rsidR="00293F62" w:rsidRDefault="00293F62" w:rsidP="00293F62">
      <w:pPr>
        <w:keepNext/>
        <w:jc w:val="both"/>
        <w:rPr>
          <w:bCs/>
        </w:rPr>
      </w:pPr>
    </w:p>
    <w:p w14:paraId="65C5E0DC" w14:textId="77777777" w:rsidR="00293F62" w:rsidRDefault="00293F62" w:rsidP="00293F62">
      <w:pPr>
        <w:widowControl w:val="0"/>
        <w:jc w:val="both"/>
        <w:rPr>
          <w:bCs/>
        </w:rPr>
      </w:pPr>
      <w:r>
        <w:rPr>
          <w:bCs/>
        </w:rPr>
        <w:t>Unaprijed naplaćeni prihodi</w:t>
      </w:r>
      <w:r w:rsidRPr="00612EA1">
        <w:rPr>
          <w:bCs/>
        </w:rPr>
        <w:t xml:space="preserve"> iz Nacionalnog plana za oporavak i otpornost u iznosu od 2.073.774.581,68 eura </w:t>
      </w:r>
      <w:r>
        <w:rPr>
          <w:bCs/>
        </w:rPr>
        <w:t xml:space="preserve">odnose se na sredstva koja su Republici Hrvatskoj uplaćena iz sredstava Mehanizma za oporavak i otpornost. Europska komisija isplaćuje predmetna sredstava u obliku predujma i tranši bespovratne pomoći. Tranše bespovratne pomoći Europska komisija isplaćuje na temelju zahtjeva za plaćanje kojima prethodi ispunjenje unaprijed utvrđenih pokazatelja u pogledu uspješnosti i provedbi ulaganja i reformi </w:t>
      </w:r>
      <w:r w:rsidRPr="002E317C">
        <w:rPr>
          <w:bCs/>
        </w:rPr>
        <w:t>u područjima javne uprave, pravosuđa, socijalne politike, zapošljavanja, obrazovanja, vještina, energije i energetske učinkovitosti, upravljanja vodama i povezanosti</w:t>
      </w:r>
      <w:r>
        <w:rPr>
          <w:bCs/>
        </w:rPr>
        <w:t xml:space="preserve">. Doznačena sredstava iz pojedine tranše koriste se za financiranje </w:t>
      </w:r>
      <w:r w:rsidRPr="002E317C">
        <w:rPr>
          <w:bCs/>
        </w:rPr>
        <w:t>ulaganja čiji su troškovi nastali ili će nastati tijekom provedbe odnosno do kraja 2026.</w:t>
      </w:r>
      <w:r>
        <w:rPr>
          <w:bCs/>
        </w:rPr>
        <w:t xml:space="preserve"> godine.</w:t>
      </w:r>
    </w:p>
    <w:p w14:paraId="73504637" w14:textId="323BC674" w:rsidR="00293F62" w:rsidRDefault="00293F62" w:rsidP="00293F62">
      <w:pPr>
        <w:widowControl w:val="0"/>
        <w:jc w:val="both"/>
        <w:rPr>
          <w:bCs/>
        </w:rPr>
      </w:pPr>
      <w:r>
        <w:rPr>
          <w:bCs/>
        </w:rPr>
        <w:t>U financijskom izvještaju državnog proračuna doznačena sredstva putem tranši evidentiraju se k</w:t>
      </w:r>
      <w:r w:rsidR="00E562D9">
        <w:rPr>
          <w:bCs/>
        </w:rPr>
        <w:t>ao unaprijed naplaćeni prihodi.</w:t>
      </w:r>
    </w:p>
    <w:p w14:paraId="69A29FAB" w14:textId="77777777" w:rsidR="00293F62" w:rsidRDefault="00293F62" w:rsidP="00293F62">
      <w:pPr>
        <w:widowControl w:val="0"/>
        <w:jc w:val="both"/>
        <w:rPr>
          <w:bCs/>
        </w:rPr>
      </w:pPr>
    </w:p>
    <w:p w14:paraId="1ED44E59" w14:textId="05A1648D" w:rsidR="00293F62" w:rsidRPr="009548E1" w:rsidRDefault="00E562D9" w:rsidP="00293F62">
      <w:pPr>
        <w:widowControl w:val="0"/>
        <w:jc w:val="center"/>
        <w:rPr>
          <w:bCs/>
          <w:sz w:val="28"/>
          <w:szCs w:val="28"/>
        </w:rPr>
      </w:pPr>
      <w:r>
        <w:rPr>
          <w:bCs/>
          <w:sz w:val="28"/>
          <w:szCs w:val="28"/>
        </w:rPr>
        <w:t>Bilješka 30</w:t>
      </w:r>
      <w:r w:rsidR="00293F62" w:rsidRPr="009548E1">
        <w:rPr>
          <w:bCs/>
          <w:sz w:val="28"/>
          <w:szCs w:val="28"/>
        </w:rPr>
        <w:t>.</w:t>
      </w:r>
    </w:p>
    <w:p w14:paraId="51CE5D09" w14:textId="77777777" w:rsidR="00293F62" w:rsidRPr="009548E1" w:rsidRDefault="00293F62" w:rsidP="00293F62">
      <w:pPr>
        <w:widowControl w:val="0"/>
        <w:spacing w:after="240"/>
        <w:jc w:val="center"/>
        <w:rPr>
          <w:bCs/>
          <w:sz w:val="28"/>
          <w:szCs w:val="28"/>
        </w:rPr>
      </w:pPr>
      <w:r w:rsidRPr="009548E1">
        <w:rPr>
          <w:bCs/>
          <w:sz w:val="28"/>
          <w:szCs w:val="28"/>
        </w:rPr>
        <w:t xml:space="preserve">Šifra 991 i 996 </w:t>
      </w:r>
      <w:proofErr w:type="spellStart"/>
      <w:r w:rsidRPr="009548E1">
        <w:rPr>
          <w:bCs/>
          <w:sz w:val="28"/>
          <w:szCs w:val="28"/>
        </w:rPr>
        <w:t>Izvanbilančni</w:t>
      </w:r>
      <w:proofErr w:type="spellEnd"/>
      <w:r w:rsidRPr="009548E1">
        <w:rPr>
          <w:bCs/>
          <w:sz w:val="28"/>
          <w:szCs w:val="28"/>
        </w:rPr>
        <w:t xml:space="preserve"> zapisi </w:t>
      </w:r>
    </w:p>
    <w:p w14:paraId="74D3FEA7" w14:textId="77777777" w:rsidR="00293F62" w:rsidRPr="009548E1" w:rsidRDefault="00293F62" w:rsidP="00293F62">
      <w:pPr>
        <w:widowControl w:val="0"/>
        <w:jc w:val="both"/>
        <w:rPr>
          <w:bCs/>
        </w:rPr>
      </w:pPr>
      <w:r w:rsidRPr="009548E1">
        <w:rPr>
          <w:bCs/>
        </w:rPr>
        <w:t xml:space="preserve">Na dan 31. prosinca 2023. godine na </w:t>
      </w:r>
      <w:proofErr w:type="spellStart"/>
      <w:r w:rsidRPr="009548E1">
        <w:rPr>
          <w:bCs/>
        </w:rPr>
        <w:t>izvanbilančnim</w:t>
      </w:r>
      <w:proofErr w:type="spellEnd"/>
      <w:r w:rsidRPr="009548E1">
        <w:rPr>
          <w:bCs/>
        </w:rPr>
        <w:t xml:space="preserve"> zapisima evidentiran je iznos od 9.498.211.931,95 eura, a odnosi se na </w:t>
      </w:r>
      <w:proofErr w:type="spellStart"/>
      <w:r w:rsidRPr="009548E1">
        <w:rPr>
          <w:bCs/>
        </w:rPr>
        <w:t>izvanbilančnu</w:t>
      </w:r>
      <w:proofErr w:type="spellEnd"/>
      <w:r w:rsidRPr="009548E1">
        <w:rPr>
          <w:bCs/>
        </w:rPr>
        <w:t xml:space="preserve"> evidenciju: </w:t>
      </w:r>
    </w:p>
    <w:p w14:paraId="03DD4B73" w14:textId="77777777" w:rsidR="00293F62" w:rsidRPr="009548E1" w:rsidRDefault="00293F62" w:rsidP="00293F62">
      <w:pPr>
        <w:widowControl w:val="0"/>
        <w:numPr>
          <w:ilvl w:val="0"/>
          <w:numId w:val="21"/>
        </w:numPr>
        <w:tabs>
          <w:tab w:val="decimal" w:pos="8820"/>
        </w:tabs>
        <w:jc w:val="both"/>
        <w:rPr>
          <w:bCs/>
        </w:rPr>
      </w:pPr>
      <w:r w:rsidRPr="009548E1">
        <w:rPr>
          <w:bCs/>
        </w:rPr>
        <w:t xml:space="preserve">jamstava </w:t>
      </w:r>
      <w:r w:rsidRPr="009548E1">
        <w:rPr>
          <w:bCs/>
        </w:rPr>
        <w:tab/>
        <w:t>4.028.417.708,35</w:t>
      </w:r>
    </w:p>
    <w:p w14:paraId="5BA43B24" w14:textId="77777777" w:rsidR="00293F62" w:rsidRPr="009548E1" w:rsidRDefault="00293F62" w:rsidP="00293F62">
      <w:pPr>
        <w:widowControl w:val="0"/>
        <w:numPr>
          <w:ilvl w:val="0"/>
          <w:numId w:val="21"/>
        </w:numPr>
        <w:tabs>
          <w:tab w:val="decimal" w:pos="8820"/>
        </w:tabs>
        <w:jc w:val="both"/>
        <w:rPr>
          <w:bCs/>
        </w:rPr>
      </w:pPr>
      <w:r>
        <w:rPr>
          <w:bCs/>
        </w:rPr>
        <w:t>međunarodnih zajmova</w:t>
      </w:r>
      <w:r w:rsidRPr="009548E1">
        <w:rPr>
          <w:bCs/>
        </w:rPr>
        <w:t xml:space="preserve"> danih uz državno jamstvo </w:t>
      </w:r>
      <w:r w:rsidRPr="009548E1">
        <w:rPr>
          <w:bCs/>
        </w:rPr>
        <w:tab/>
        <w:t>2.732.546.070,90</w:t>
      </w:r>
    </w:p>
    <w:p w14:paraId="467DAF0A" w14:textId="77777777" w:rsidR="00293F62" w:rsidRPr="009548E1" w:rsidRDefault="00293F62" w:rsidP="00293F62">
      <w:pPr>
        <w:widowControl w:val="0"/>
        <w:numPr>
          <w:ilvl w:val="0"/>
          <w:numId w:val="21"/>
        </w:numPr>
        <w:tabs>
          <w:tab w:val="decimal" w:pos="8820"/>
        </w:tabs>
        <w:jc w:val="both"/>
        <w:rPr>
          <w:bCs/>
        </w:rPr>
      </w:pPr>
      <w:r w:rsidRPr="009548E1">
        <w:rPr>
          <w:bCs/>
        </w:rPr>
        <w:t>potencijalne obveze po sudskim sporovima Ministarstva financija</w:t>
      </w:r>
    </w:p>
    <w:p w14:paraId="5EB1001A" w14:textId="77777777" w:rsidR="00293F62" w:rsidRPr="009548E1" w:rsidRDefault="00293F62" w:rsidP="00293F62">
      <w:pPr>
        <w:widowControl w:val="0"/>
        <w:tabs>
          <w:tab w:val="decimal" w:pos="8820"/>
        </w:tabs>
        <w:ind w:left="360"/>
        <w:jc w:val="both"/>
        <w:rPr>
          <w:bCs/>
        </w:rPr>
      </w:pPr>
      <w:r w:rsidRPr="009548E1">
        <w:rPr>
          <w:bCs/>
        </w:rPr>
        <w:t>- bivšeg Fonda za naknadu oduzete imovine</w:t>
      </w:r>
      <w:r w:rsidRPr="009548E1">
        <w:rPr>
          <w:bCs/>
        </w:rPr>
        <w:tab/>
        <w:t>278.923,68</w:t>
      </w:r>
    </w:p>
    <w:p w14:paraId="475DCDBF" w14:textId="77777777" w:rsidR="00293F62" w:rsidRPr="009548E1" w:rsidRDefault="00293F62" w:rsidP="00293F62">
      <w:pPr>
        <w:pStyle w:val="Odlomakpopisa"/>
        <w:widowControl w:val="0"/>
        <w:numPr>
          <w:ilvl w:val="0"/>
          <w:numId w:val="43"/>
        </w:numPr>
        <w:tabs>
          <w:tab w:val="decimal" w:pos="8820"/>
        </w:tabs>
        <w:ind w:left="709"/>
        <w:jc w:val="both"/>
        <w:rPr>
          <w:bCs/>
        </w:rPr>
      </w:pPr>
      <w:r w:rsidRPr="009548E1">
        <w:rPr>
          <w:bCs/>
        </w:rPr>
        <w:t>financijskih instrumenata iz Nacionalnog plana oporavka i otpornosti     112.814.387,73</w:t>
      </w:r>
    </w:p>
    <w:p w14:paraId="74AAEC3B" w14:textId="77777777" w:rsidR="00293F62" w:rsidRPr="009548E1" w:rsidRDefault="00293F62" w:rsidP="00293F62">
      <w:pPr>
        <w:pStyle w:val="Odlomakpopisa"/>
        <w:widowControl w:val="0"/>
        <w:numPr>
          <w:ilvl w:val="0"/>
          <w:numId w:val="43"/>
        </w:numPr>
        <w:tabs>
          <w:tab w:val="decimal" w:pos="8820"/>
        </w:tabs>
        <w:ind w:left="709"/>
        <w:jc w:val="both"/>
        <w:rPr>
          <w:bCs/>
        </w:rPr>
      </w:pPr>
      <w:r w:rsidRPr="009548E1">
        <w:rPr>
          <w:bCs/>
        </w:rPr>
        <w:t>kapitala na poziv</w:t>
      </w:r>
      <w:r w:rsidRPr="009548E1">
        <w:rPr>
          <w:bCs/>
        </w:rPr>
        <w:tab/>
        <w:t>4.766.262.186,63</w:t>
      </w:r>
    </w:p>
    <w:p w14:paraId="5C357716" w14:textId="77777777" w:rsidR="00293F62" w:rsidRPr="009548E1" w:rsidRDefault="00293F62" w:rsidP="00293F62">
      <w:pPr>
        <w:pStyle w:val="Odlomakpopisa"/>
        <w:widowControl w:val="0"/>
        <w:numPr>
          <w:ilvl w:val="0"/>
          <w:numId w:val="43"/>
        </w:numPr>
        <w:tabs>
          <w:tab w:val="decimal" w:pos="8820"/>
        </w:tabs>
        <w:ind w:left="709"/>
        <w:jc w:val="both"/>
        <w:rPr>
          <w:bCs/>
        </w:rPr>
      </w:pPr>
      <w:r w:rsidRPr="009548E1">
        <w:rPr>
          <w:bCs/>
        </w:rPr>
        <w:t xml:space="preserve">dionica i udjela danih na upravljanje (HZZMO) i </w:t>
      </w:r>
      <w:r w:rsidRPr="009548E1">
        <w:rPr>
          <w:bCs/>
        </w:rPr>
        <w:tab/>
        <w:t>160.404.004,12</w:t>
      </w:r>
    </w:p>
    <w:p w14:paraId="0A267750" w14:textId="77777777" w:rsidR="00293F62" w:rsidRPr="009548E1" w:rsidRDefault="00293F62" w:rsidP="00293F62">
      <w:pPr>
        <w:widowControl w:val="0"/>
        <w:tabs>
          <w:tab w:val="decimal" w:pos="8820"/>
        </w:tabs>
        <w:ind w:left="349"/>
        <w:jc w:val="both"/>
        <w:rPr>
          <w:bCs/>
        </w:rPr>
      </w:pPr>
      <w:r w:rsidRPr="009548E1">
        <w:rPr>
          <w:bCs/>
        </w:rPr>
        <w:t>ostale pravne osobe od strateškog interesa</w:t>
      </w:r>
    </w:p>
    <w:p w14:paraId="45E2EC50" w14:textId="77777777" w:rsidR="00293F62" w:rsidRPr="009548E1" w:rsidRDefault="00293F62" w:rsidP="00293F62">
      <w:pPr>
        <w:jc w:val="both"/>
        <w:rPr>
          <w:bCs/>
        </w:rPr>
      </w:pPr>
      <w:r w:rsidRPr="009548E1">
        <w:rPr>
          <w:bCs/>
        </w:rPr>
        <w:t>Podaci o potencijalnim obvezama po sudskim sporovima razvrstani prema organizacijskoj klasifikaciji državnog proračuna daju se u Dodatku 1. Iskazani su u financijskim izvještajima proračunskih korisnika državnog proračuna razine 11, pa se stoga ne iskazuju u financijskom izvještaju državnog proračuna (razina 13).</w:t>
      </w:r>
    </w:p>
    <w:p w14:paraId="2D908498" w14:textId="77777777" w:rsidR="00293F62" w:rsidRPr="009548E1" w:rsidRDefault="00293F62" w:rsidP="00293F62">
      <w:pPr>
        <w:jc w:val="both"/>
        <w:rPr>
          <w:bCs/>
        </w:rPr>
      </w:pPr>
    </w:p>
    <w:p w14:paraId="1C3B7DC2" w14:textId="77777777" w:rsidR="00293F62" w:rsidRPr="009548E1" w:rsidRDefault="00293F62" w:rsidP="00293F62">
      <w:pPr>
        <w:jc w:val="both"/>
        <w:rPr>
          <w:b/>
          <w:bCs/>
          <w:u w:val="single"/>
        </w:rPr>
      </w:pPr>
    </w:p>
    <w:p w14:paraId="31543A58" w14:textId="77777777" w:rsidR="00293F62" w:rsidRPr="009548E1" w:rsidRDefault="00293F62" w:rsidP="00293F62">
      <w:pPr>
        <w:jc w:val="both"/>
        <w:rPr>
          <w:b/>
          <w:bCs/>
          <w:u w:val="single"/>
        </w:rPr>
      </w:pPr>
      <w:r w:rsidRPr="009548E1">
        <w:rPr>
          <w:b/>
          <w:bCs/>
          <w:u w:val="single"/>
        </w:rPr>
        <w:t>Obvezne Bilješke uz Bilancu</w:t>
      </w:r>
    </w:p>
    <w:p w14:paraId="074F04A9" w14:textId="77777777" w:rsidR="00293F62" w:rsidRPr="009548E1" w:rsidRDefault="00293F62" w:rsidP="00293F62">
      <w:pPr>
        <w:jc w:val="both"/>
        <w:rPr>
          <w:bCs/>
        </w:rPr>
      </w:pPr>
    </w:p>
    <w:p w14:paraId="7D726DD4" w14:textId="77777777" w:rsidR="00293F62" w:rsidRPr="009548E1" w:rsidRDefault="00293F62" w:rsidP="00293F62">
      <w:pPr>
        <w:jc w:val="both"/>
        <w:rPr>
          <w:bCs/>
        </w:rPr>
      </w:pPr>
      <w:r w:rsidRPr="009548E1">
        <w:rPr>
          <w:bCs/>
        </w:rPr>
        <w:t>Pravilnikom o financijskom izvještavanju u proračunskom računovodstvu (Narodne novine, br. 37/22) u članku 15. propisan je sadržaj obveznih Bilješki uz Bilancu.</w:t>
      </w:r>
    </w:p>
    <w:p w14:paraId="29EC6530" w14:textId="77777777" w:rsidR="00293F62" w:rsidRPr="009548E1" w:rsidRDefault="00293F62" w:rsidP="00293F62">
      <w:pPr>
        <w:jc w:val="both"/>
      </w:pPr>
      <w:r w:rsidRPr="009548E1">
        <w:t xml:space="preserve"> Obvezne Bilješke uz Bilancu jesu:</w:t>
      </w:r>
    </w:p>
    <w:p w14:paraId="6CF2AFFC" w14:textId="77777777" w:rsidR="00293F62" w:rsidRPr="009548E1" w:rsidRDefault="00293F62" w:rsidP="00293F62">
      <w:pPr>
        <w:pStyle w:val="Odlomakpopisa"/>
        <w:numPr>
          <w:ilvl w:val="0"/>
          <w:numId w:val="40"/>
        </w:numPr>
        <w:jc w:val="both"/>
      </w:pPr>
      <w:r w:rsidRPr="009548E1">
        <w:t>Popis ugovornih odnosa i slično koji uz ispunjenje određenih uvjeta, mogu postati obveza ili imovina (dana kreditna pisma, hipoteke i slično) i</w:t>
      </w:r>
    </w:p>
    <w:p w14:paraId="355656AD" w14:textId="77777777" w:rsidR="00293F62" w:rsidRPr="009548E1" w:rsidRDefault="00293F62" w:rsidP="00293F62">
      <w:pPr>
        <w:pStyle w:val="Odlomakpopisa"/>
        <w:numPr>
          <w:ilvl w:val="0"/>
          <w:numId w:val="40"/>
        </w:numPr>
        <w:jc w:val="both"/>
      </w:pPr>
      <w:r w:rsidRPr="009548E1">
        <w:t>Popis sudskih sporova u tijeku.</w:t>
      </w:r>
    </w:p>
    <w:p w14:paraId="4C47F5B3" w14:textId="77777777" w:rsidR="00293F62" w:rsidRPr="009548E1" w:rsidRDefault="00293F62" w:rsidP="00293F62">
      <w:pPr>
        <w:jc w:val="both"/>
        <w:rPr>
          <w:szCs w:val="20"/>
        </w:rPr>
      </w:pPr>
    </w:p>
    <w:p w14:paraId="7FA9BF79" w14:textId="77777777" w:rsidR="00293F62" w:rsidRPr="009548E1" w:rsidRDefault="00293F62" w:rsidP="00293F62">
      <w:pPr>
        <w:jc w:val="both"/>
        <w:rPr>
          <w:szCs w:val="20"/>
        </w:rPr>
      </w:pPr>
      <w:r w:rsidRPr="009548E1">
        <w:rPr>
          <w:szCs w:val="20"/>
        </w:rPr>
        <w:t>Popisi iz točke 1. i 2. daju se u privitku.</w:t>
      </w:r>
    </w:p>
    <w:p w14:paraId="2E2370EE" w14:textId="77777777" w:rsidR="00293F62" w:rsidRPr="009548E1" w:rsidRDefault="00293F62" w:rsidP="00293F62">
      <w:pPr>
        <w:jc w:val="both"/>
        <w:rPr>
          <w:szCs w:val="20"/>
        </w:rPr>
      </w:pPr>
    </w:p>
    <w:p w14:paraId="20B02A90" w14:textId="77777777" w:rsidR="00293F62" w:rsidRPr="009548E1" w:rsidRDefault="00293F62" w:rsidP="00293F62">
      <w:pPr>
        <w:jc w:val="both"/>
        <w:rPr>
          <w:szCs w:val="20"/>
        </w:rPr>
      </w:pPr>
      <w:r w:rsidRPr="009548E1">
        <w:br w:type="page"/>
      </w:r>
    </w:p>
    <w:p w14:paraId="215D9076" w14:textId="77777777" w:rsidR="00293F62" w:rsidRPr="009548E1" w:rsidRDefault="00293F62" w:rsidP="00293F62">
      <w:pPr>
        <w:pStyle w:val="Naslov1"/>
      </w:pPr>
      <w:r w:rsidRPr="009548E1">
        <w:t>BILJEŠKE UZ IZVJEŠTAJ O PROMJENAMA U VRIJEDNOSTI I OBUJMU IMOVINE I OBVEZA</w:t>
      </w:r>
    </w:p>
    <w:p w14:paraId="1D7BB08C" w14:textId="77777777" w:rsidR="00293F62" w:rsidRPr="009548E1" w:rsidRDefault="00293F62" w:rsidP="00293F62">
      <w:pPr>
        <w:jc w:val="center"/>
        <w:rPr>
          <w:sz w:val="28"/>
          <w:szCs w:val="28"/>
        </w:rPr>
      </w:pPr>
    </w:p>
    <w:p w14:paraId="2D30AEBF" w14:textId="77777777" w:rsidR="00293F62" w:rsidRPr="009548E1" w:rsidRDefault="00293F62" w:rsidP="00293F62">
      <w:pPr>
        <w:jc w:val="center"/>
        <w:rPr>
          <w:sz w:val="28"/>
          <w:szCs w:val="28"/>
        </w:rPr>
      </w:pPr>
      <w:r w:rsidRPr="009548E1">
        <w:rPr>
          <w:sz w:val="28"/>
          <w:szCs w:val="28"/>
        </w:rPr>
        <w:t>Bilješka 1.</w:t>
      </w:r>
    </w:p>
    <w:p w14:paraId="3FAC9E98" w14:textId="77777777" w:rsidR="00293F62" w:rsidRPr="009548E1" w:rsidRDefault="00293F62" w:rsidP="00293F62">
      <w:pPr>
        <w:jc w:val="both"/>
      </w:pPr>
    </w:p>
    <w:p w14:paraId="5C4CF273" w14:textId="77777777" w:rsidR="00293F62" w:rsidRPr="009548E1" w:rsidRDefault="00293F62" w:rsidP="00293F62">
      <w:pPr>
        <w:jc w:val="both"/>
      </w:pPr>
      <w:r w:rsidRPr="009548E1">
        <w:t xml:space="preserve">U Obrascu P-VRIO evidentirane su sljedeće promjene: </w:t>
      </w:r>
    </w:p>
    <w:p w14:paraId="0EFE1FB0" w14:textId="77777777" w:rsidR="00293F62" w:rsidRPr="009548E1" w:rsidRDefault="00293F62" w:rsidP="00293F62">
      <w:pPr>
        <w:jc w:val="both"/>
      </w:pPr>
    </w:p>
    <w:tbl>
      <w:tblPr>
        <w:tblW w:w="10686" w:type="dxa"/>
        <w:jc w:val="center"/>
        <w:tblLook w:val="04A0" w:firstRow="1" w:lastRow="0" w:firstColumn="1" w:lastColumn="0" w:noHBand="0" w:noVBand="1"/>
      </w:tblPr>
      <w:tblGrid>
        <w:gridCol w:w="5206"/>
        <w:gridCol w:w="1960"/>
        <w:gridCol w:w="1740"/>
        <w:gridCol w:w="1780"/>
      </w:tblGrid>
      <w:tr w:rsidR="00293F62" w:rsidRPr="009548E1" w14:paraId="2C957E3C" w14:textId="77777777" w:rsidTr="005C7D38">
        <w:trPr>
          <w:trHeight w:val="630"/>
          <w:jc w:val="center"/>
        </w:trPr>
        <w:tc>
          <w:tcPr>
            <w:tcW w:w="520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126AB8" w14:textId="77777777" w:rsidR="00293F62" w:rsidRPr="009548E1" w:rsidRDefault="00293F62" w:rsidP="005C7D38">
            <w:pPr>
              <w:jc w:val="center"/>
              <w:rPr>
                <w:b/>
                <w:bCs/>
              </w:rPr>
            </w:pPr>
            <w:r w:rsidRPr="009548E1">
              <w:rPr>
                <w:b/>
                <w:bCs/>
              </w:rPr>
              <w:t>Opis knjiženja</w:t>
            </w:r>
          </w:p>
        </w:tc>
        <w:tc>
          <w:tcPr>
            <w:tcW w:w="1960" w:type="dxa"/>
            <w:tcBorders>
              <w:top w:val="single" w:sz="8" w:space="0" w:color="auto"/>
              <w:left w:val="nil"/>
              <w:bottom w:val="single" w:sz="4" w:space="0" w:color="auto"/>
              <w:right w:val="single" w:sz="4" w:space="0" w:color="auto"/>
            </w:tcBorders>
            <w:shd w:val="clear" w:color="auto" w:fill="auto"/>
            <w:noWrap/>
            <w:vAlign w:val="center"/>
            <w:hideMark/>
          </w:tcPr>
          <w:p w14:paraId="4B94EF22" w14:textId="77777777" w:rsidR="00293F62" w:rsidRPr="009548E1" w:rsidRDefault="00293F62" w:rsidP="005C7D38">
            <w:pPr>
              <w:jc w:val="center"/>
              <w:rPr>
                <w:b/>
                <w:bCs/>
              </w:rPr>
            </w:pPr>
            <w:r w:rsidRPr="009548E1">
              <w:rPr>
                <w:b/>
                <w:bCs/>
              </w:rPr>
              <w:t>Iznos</w:t>
            </w:r>
          </w:p>
        </w:tc>
        <w:tc>
          <w:tcPr>
            <w:tcW w:w="1740" w:type="dxa"/>
            <w:tcBorders>
              <w:top w:val="single" w:sz="8" w:space="0" w:color="auto"/>
              <w:left w:val="nil"/>
              <w:bottom w:val="single" w:sz="4" w:space="0" w:color="auto"/>
              <w:right w:val="single" w:sz="4" w:space="0" w:color="auto"/>
            </w:tcBorders>
            <w:shd w:val="clear" w:color="auto" w:fill="auto"/>
            <w:vAlign w:val="center"/>
            <w:hideMark/>
          </w:tcPr>
          <w:p w14:paraId="2BA6C079" w14:textId="77777777" w:rsidR="00293F62" w:rsidRPr="009548E1" w:rsidRDefault="00293F62" w:rsidP="005C7D38">
            <w:pPr>
              <w:jc w:val="center"/>
              <w:rPr>
                <w:b/>
                <w:bCs/>
              </w:rPr>
            </w:pPr>
            <w:r w:rsidRPr="009548E1">
              <w:rPr>
                <w:b/>
                <w:bCs/>
              </w:rPr>
              <w:t>smanjenje/ povećanje</w:t>
            </w:r>
          </w:p>
        </w:tc>
        <w:tc>
          <w:tcPr>
            <w:tcW w:w="1780" w:type="dxa"/>
            <w:tcBorders>
              <w:top w:val="single" w:sz="8" w:space="0" w:color="auto"/>
              <w:left w:val="nil"/>
              <w:bottom w:val="single" w:sz="4" w:space="0" w:color="auto"/>
              <w:right w:val="single" w:sz="8" w:space="0" w:color="auto"/>
            </w:tcBorders>
            <w:shd w:val="clear" w:color="auto" w:fill="auto"/>
            <w:vAlign w:val="center"/>
            <w:hideMark/>
          </w:tcPr>
          <w:p w14:paraId="3732A29F" w14:textId="77777777" w:rsidR="00293F62" w:rsidRPr="009548E1" w:rsidRDefault="00293F62" w:rsidP="005C7D38">
            <w:pPr>
              <w:jc w:val="center"/>
              <w:rPr>
                <w:b/>
                <w:bCs/>
              </w:rPr>
            </w:pPr>
            <w:r w:rsidRPr="009548E1">
              <w:rPr>
                <w:b/>
                <w:bCs/>
              </w:rPr>
              <w:t>Šifra u izvještaju P-VRIO</w:t>
            </w:r>
          </w:p>
        </w:tc>
      </w:tr>
      <w:tr w:rsidR="00293F62" w:rsidRPr="009548E1" w14:paraId="5E1CEB45" w14:textId="77777777" w:rsidTr="005C7D38">
        <w:trPr>
          <w:trHeight w:val="510"/>
          <w:jc w:val="center"/>
        </w:trPr>
        <w:tc>
          <w:tcPr>
            <w:tcW w:w="5206" w:type="dxa"/>
            <w:tcBorders>
              <w:top w:val="nil"/>
              <w:left w:val="single" w:sz="8" w:space="0" w:color="auto"/>
              <w:bottom w:val="single" w:sz="4" w:space="0" w:color="auto"/>
              <w:right w:val="single" w:sz="4" w:space="0" w:color="auto"/>
            </w:tcBorders>
            <w:shd w:val="clear" w:color="auto" w:fill="auto"/>
            <w:vAlign w:val="center"/>
            <w:hideMark/>
          </w:tcPr>
          <w:p w14:paraId="7E18A0C8" w14:textId="77777777" w:rsidR="00293F62" w:rsidRPr="009548E1" w:rsidRDefault="00293F62" w:rsidP="005C7D38">
            <w:pPr>
              <w:rPr>
                <w:sz w:val="20"/>
                <w:szCs w:val="20"/>
              </w:rPr>
            </w:pPr>
            <w:r w:rsidRPr="009548E1">
              <w:rPr>
                <w:sz w:val="20"/>
                <w:szCs w:val="20"/>
              </w:rPr>
              <w:t>Promjena u obujmu financijske imovine - Potraž.za dane zajmove (FRZ)</w:t>
            </w:r>
          </w:p>
        </w:tc>
        <w:tc>
          <w:tcPr>
            <w:tcW w:w="1960" w:type="dxa"/>
            <w:tcBorders>
              <w:top w:val="nil"/>
              <w:left w:val="nil"/>
              <w:bottom w:val="single" w:sz="4" w:space="0" w:color="auto"/>
              <w:right w:val="single" w:sz="4" w:space="0" w:color="auto"/>
            </w:tcBorders>
            <w:shd w:val="clear" w:color="auto" w:fill="auto"/>
            <w:noWrap/>
            <w:vAlign w:val="center"/>
            <w:hideMark/>
          </w:tcPr>
          <w:p w14:paraId="11DD0275" w14:textId="77777777" w:rsidR="00293F62" w:rsidRPr="009548E1" w:rsidRDefault="00293F62" w:rsidP="005C7D38">
            <w:pPr>
              <w:jc w:val="right"/>
            </w:pPr>
            <w:r w:rsidRPr="009548E1">
              <w:t>15.725.011,97</w:t>
            </w:r>
          </w:p>
        </w:tc>
        <w:tc>
          <w:tcPr>
            <w:tcW w:w="1740" w:type="dxa"/>
            <w:tcBorders>
              <w:top w:val="nil"/>
              <w:left w:val="nil"/>
              <w:bottom w:val="single" w:sz="4" w:space="0" w:color="auto"/>
              <w:right w:val="single" w:sz="4" w:space="0" w:color="auto"/>
            </w:tcBorders>
            <w:shd w:val="clear" w:color="auto" w:fill="auto"/>
            <w:vAlign w:val="center"/>
            <w:hideMark/>
          </w:tcPr>
          <w:p w14:paraId="66B40843" w14:textId="77777777" w:rsidR="00293F62" w:rsidRPr="009548E1" w:rsidRDefault="00293F62" w:rsidP="005C7D38">
            <w:pPr>
              <w:jc w:val="center"/>
              <w:rPr>
                <w:sz w:val="20"/>
                <w:szCs w:val="20"/>
              </w:rPr>
            </w:pPr>
            <w:r w:rsidRPr="009548E1">
              <w:rPr>
                <w:sz w:val="20"/>
                <w:szCs w:val="20"/>
              </w:rPr>
              <w:t>smanjenje obujma imovine</w:t>
            </w:r>
          </w:p>
        </w:tc>
        <w:tc>
          <w:tcPr>
            <w:tcW w:w="1780" w:type="dxa"/>
            <w:tcBorders>
              <w:top w:val="nil"/>
              <w:left w:val="nil"/>
              <w:bottom w:val="single" w:sz="4" w:space="0" w:color="auto"/>
              <w:right w:val="single" w:sz="8" w:space="0" w:color="auto"/>
            </w:tcBorders>
            <w:shd w:val="clear" w:color="auto" w:fill="auto"/>
            <w:vAlign w:val="center"/>
            <w:hideMark/>
          </w:tcPr>
          <w:p w14:paraId="23ADD04D" w14:textId="77777777" w:rsidR="00293F62" w:rsidRPr="009548E1" w:rsidRDefault="00293F62" w:rsidP="005C7D38">
            <w:pPr>
              <w:jc w:val="center"/>
              <w:rPr>
                <w:sz w:val="20"/>
                <w:szCs w:val="20"/>
              </w:rPr>
            </w:pPr>
            <w:r w:rsidRPr="009548E1">
              <w:rPr>
                <w:sz w:val="20"/>
                <w:szCs w:val="20"/>
              </w:rPr>
              <w:t>P026</w:t>
            </w:r>
          </w:p>
        </w:tc>
      </w:tr>
      <w:tr w:rsidR="00293F62" w:rsidRPr="009548E1" w14:paraId="0B1260FA" w14:textId="77777777" w:rsidTr="005C7D38">
        <w:trPr>
          <w:trHeight w:val="510"/>
          <w:jc w:val="center"/>
        </w:trPr>
        <w:tc>
          <w:tcPr>
            <w:tcW w:w="5206" w:type="dxa"/>
            <w:tcBorders>
              <w:top w:val="nil"/>
              <w:left w:val="single" w:sz="8" w:space="0" w:color="auto"/>
              <w:bottom w:val="single" w:sz="4" w:space="0" w:color="auto"/>
              <w:right w:val="single" w:sz="4" w:space="0" w:color="auto"/>
            </w:tcBorders>
            <w:shd w:val="clear" w:color="auto" w:fill="auto"/>
            <w:vAlign w:val="center"/>
            <w:hideMark/>
          </w:tcPr>
          <w:p w14:paraId="167A92FB" w14:textId="77777777" w:rsidR="00293F62" w:rsidRPr="009548E1" w:rsidRDefault="00293F62" w:rsidP="005C7D38">
            <w:pPr>
              <w:rPr>
                <w:sz w:val="20"/>
                <w:szCs w:val="20"/>
              </w:rPr>
            </w:pPr>
            <w:r w:rsidRPr="009548E1">
              <w:rPr>
                <w:sz w:val="20"/>
                <w:szCs w:val="20"/>
              </w:rPr>
              <w:t>Promjena u obujmu financijske imovine - Potraž.za prihode poslovanja (kamate na dane zajmove FRZ)</w:t>
            </w:r>
          </w:p>
        </w:tc>
        <w:tc>
          <w:tcPr>
            <w:tcW w:w="1960" w:type="dxa"/>
            <w:tcBorders>
              <w:top w:val="nil"/>
              <w:left w:val="nil"/>
              <w:bottom w:val="single" w:sz="4" w:space="0" w:color="auto"/>
              <w:right w:val="single" w:sz="4" w:space="0" w:color="auto"/>
            </w:tcBorders>
            <w:shd w:val="clear" w:color="auto" w:fill="auto"/>
            <w:noWrap/>
            <w:vAlign w:val="center"/>
            <w:hideMark/>
          </w:tcPr>
          <w:p w14:paraId="776563A6" w14:textId="77777777" w:rsidR="00293F62" w:rsidRPr="009548E1" w:rsidRDefault="00293F62" w:rsidP="005C7D38">
            <w:pPr>
              <w:jc w:val="right"/>
            </w:pPr>
            <w:r w:rsidRPr="009548E1">
              <w:t>5.304.806,99</w:t>
            </w:r>
          </w:p>
        </w:tc>
        <w:tc>
          <w:tcPr>
            <w:tcW w:w="1740" w:type="dxa"/>
            <w:tcBorders>
              <w:top w:val="nil"/>
              <w:left w:val="nil"/>
              <w:bottom w:val="single" w:sz="4" w:space="0" w:color="auto"/>
              <w:right w:val="single" w:sz="4" w:space="0" w:color="auto"/>
            </w:tcBorders>
            <w:shd w:val="clear" w:color="auto" w:fill="auto"/>
            <w:vAlign w:val="center"/>
            <w:hideMark/>
          </w:tcPr>
          <w:p w14:paraId="07ACC78D" w14:textId="77777777" w:rsidR="00293F62" w:rsidRPr="009548E1" w:rsidRDefault="00293F62" w:rsidP="005C7D38">
            <w:pPr>
              <w:jc w:val="center"/>
              <w:rPr>
                <w:sz w:val="20"/>
                <w:szCs w:val="20"/>
              </w:rPr>
            </w:pPr>
            <w:r w:rsidRPr="009548E1">
              <w:rPr>
                <w:sz w:val="20"/>
                <w:szCs w:val="20"/>
              </w:rPr>
              <w:t>smanjenje obujma imovine</w:t>
            </w:r>
          </w:p>
        </w:tc>
        <w:tc>
          <w:tcPr>
            <w:tcW w:w="1780" w:type="dxa"/>
            <w:tcBorders>
              <w:top w:val="nil"/>
              <w:left w:val="nil"/>
              <w:bottom w:val="single" w:sz="4" w:space="0" w:color="auto"/>
              <w:right w:val="single" w:sz="8" w:space="0" w:color="auto"/>
            </w:tcBorders>
            <w:shd w:val="clear" w:color="auto" w:fill="auto"/>
            <w:vAlign w:val="center"/>
            <w:hideMark/>
          </w:tcPr>
          <w:p w14:paraId="0A702399" w14:textId="77777777" w:rsidR="00293F62" w:rsidRPr="009548E1" w:rsidRDefault="00293F62" w:rsidP="005C7D38">
            <w:pPr>
              <w:jc w:val="center"/>
              <w:rPr>
                <w:sz w:val="20"/>
                <w:szCs w:val="20"/>
              </w:rPr>
            </w:pPr>
            <w:r w:rsidRPr="009548E1">
              <w:rPr>
                <w:sz w:val="20"/>
                <w:szCs w:val="20"/>
              </w:rPr>
              <w:t>P029</w:t>
            </w:r>
          </w:p>
        </w:tc>
      </w:tr>
      <w:tr w:rsidR="00293F62" w:rsidRPr="009548E1" w14:paraId="66BD98C1" w14:textId="77777777" w:rsidTr="005C7D38">
        <w:trPr>
          <w:trHeight w:val="510"/>
          <w:jc w:val="center"/>
        </w:trPr>
        <w:tc>
          <w:tcPr>
            <w:tcW w:w="5206" w:type="dxa"/>
            <w:tcBorders>
              <w:top w:val="nil"/>
              <w:left w:val="single" w:sz="8" w:space="0" w:color="auto"/>
              <w:bottom w:val="single" w:sz="4" w:space="0" w:color="auto"/>
              <w:right w:val="single" w:sz="4" w:space="0" w:color="auto"/>
            </w:tcBorders>
            <w:shd w:val="clear" w:color="auto" w:fill="auto"/>
            <w:vAlign w:val="center"/>
            <w:hideMark/>
          </w:tcPr>
          <w:p w14:paraId="5B1F19BB" w14:textId="77777777" w:rsidR="00293F62" w:rsidRPr="009548E1" w:rsidRDefault="00293F62" w:rsidP="005C7D38">
            <w:pPr>
              <w:rPr>
                <w:sz w:val="20"/>
                <w:szCs w:val="20"/>
              </w:rPr>
            </w:pPr>
            <w:r w:rsidRPr="009548E1">
              <w:rPr>
                <w:sz w:val="20"/>
                <w:szCs w:val="20"/>
              </w:rPr>
              <w:t>Promjena u obujmu financijske imovine - Potraž.za prihode poslovanja (ŽUBA)</w:t>
            </w:r>
          </w:p>
        </w:tc>
        <w:tc>
          <w:tcPr>
            <w:tcW w:w="1960" w:type="dxa"/>
            <w:tcBorders>
              <w:top w:val="nil"/>
              <w:left w:val="nil"/>
              <w:bottom w:val="single" w:sz="4" w:space="0" w:color="auto"/>
              <w:right w:val="single" w:sz="4" w:space="0" w:color="auto"/>
            </w:tcBorders>
            <w:shd w:val="clear" w:color="auto" w:fill="auto"/>
            <w:noWrap/>
            <w:vAlign w:val="center"/>
            <w:hideMark/>
          </w:tcPr>
          <w:p w14:paraId="532AFCA4" w14:textId="77777777" w:rsidR="00293F62" w:rsidRPr="009548E1" w:rsidRDefault="00293F62" w:rsidP="005C7D38">
            <w:pPr>
              <w:jc w:val="right"/>
            </w:pPr>
            <w:r w:rsidRPr="009548E1">
              <w:t>29.382,09</w:t>
            </w:r>
          </w:p>
        </w:tc>
        <w:tc>
          <w:tcPr>
            <w:tcW w:w="1740" w:type="dxa"/>
            <w:tcBorders>
              <w:top w:val="nil"/>
              <w:left w:val="nil"/>
              <w:bottom w:val="single" w:sz="4" w:space="0" w:color="auto"/>
              <w:right w:val="single" w:sz="4" w:space="0" w:color="auto"/>
            </w:tcBorders>
            <w:shd w:val="clear" w:color="auto" w:fill="auto"/>
            <w:vAlign w:val="center"/>
            <w:hideMark/>
          </w:tcPr>
          <w:p w14:paraId="332AF406" w14:textId="77777777" w:rsidR="00293F62" w:rsidRPr="009548E1" w:rsidRDefault="00293F62" w:rsidP="005C7D38">
            <w:pPr>
              <w:jc w:val="center"/>
              <w:rPr>
                <w:sz w:val="20"/>
                <w:szCs w:val="20"/>
              </w:rPr>
            </w:pPr>
            <w:r w:rsidRPr="009548E1">
              <w:rPr>
                <w:sz w:val="20"/>
                <w:szCs w:val="20"/>
              </w:rPr>
              <w:t>smanjenje obujma imovine</w:t>
            </w:r>
          </w:p>
        </w:tc>
        <w:tc>
          <w:tcPr>
            <w:tcW w:w="1780" w:type="dxa"/>
            <w:tcBorders>
              <w:top w:val="nil"/>
              <w:left w:val="nil"/>
              <w:bottom w:val="single" w:sz="4" w:space="0" w:color="auto"/>
              <w:right w:val="single" w:sz="8" w:space="0" w:color="auto"/>
            </w:tcBorders>
            <w:shd w:val="clear" w:color="auto" w:fill="auto"/>
            <w:vAlign w:val="center"/>
            <w:hideMark/>
          </w:tcPr>
          <w:p w14:paraId="11E058DC" w14:textId="77777777" w:rsidR="00293F62" w:rsidRPr="009548E1" w:rsidRDefault="00293F62" w:rsidP="005C7D38">
            <w:pPr>
              <w:jc w:val="center"/>
              <w:rPr>
                <w:sz w:val="20"/>
                <w:szCs w:val="20"/>
              </w:rPr>
            </w:pPr>
            <w:r w:rsidRPr="009548E1">
              <w:rPr>
                <w:sz w:val="20"/>
                <w:szCs w:val="20"/>
              </w:rPr>
              <w:t>P029</w:t>
            </w:r>
          </w:p>
        </w:tc>
      </w:tr>
      <w:tr w:rsidR="00293F62" w:rsidRPr="009548E1" w14:paraId="0B8605B9" w14:textId="77777777" w:rsidTr="005C7D38">
        <w:trPr>
          <w:trHeight w:val="510"/>
          <w:jc w:val="center"/>
        </w:trPr>
        <w:tc>
          <w:tcPr>
            <w:tcW w:w="5206" w:type="dxa"/>
            <w:tcBorders>
              <w:top w:val="nil"/>
              <w:left w:val="single" w:sz="8" w:space="0" w:color="auto"/>
              <w:bottom w:val="single" w:sz="4" w:space="0" w:color="auto"/>
              <w:right w:val="single" w:sz="4" w:space="0" w:color="auto"/>
            </w:tcBorders>
            <w:shd w:val="clear" w:color="auto" w:fill="auto"/>
            <w:vAlign w:val="center"/>
            <w:hideMark/>
          </w:tcPr>
          <w:p w14:paraId="129A2418" w14:textId="77777777" w:rsidR="00293F62" w:rsidRPr="009548E1" w:rsidRDefault="00293F62" w:rsidP="005C7D38">
            <w:pPr>
              <w:rPr>
                <w:sz w:val="20"/>
                <w:szCs w:val="20"/>
              </w:rPr>
            </w:pPr>
            <w:r w:rsidRPr="009548E1">
              <w:rPr>
                <w:sz w:val="20"/>
                <w:szCs w:val="20"/>
              </w:rPr>
              <w:t>Promjene u obujmu financijske imovine - Potraž.za prihode poslovanja (klasificirani podatak)</w:t>
            </w:r>
          </w:p>
        </w:tc>
        <w:tc>
          <w:tcPr>
            <w:tcW w:w="1960" w:type="dxa"/>
            <w:tcBorders>
              <w:top w:val="nil"/>
              <w:left w:val="nil"/>
              <w:bottom w:val="single" w:sz="4" w:space="0" w:color="auto"/>
              <w:right w:val="single" w:sz="4" w:space="0" w:color="auto"/>
            </w:tcBorders>
            <w:shd w:val="clear" w:color="auto" w:fill="auto"/>
            <w:noWrap/>
            <w:vAlign w:val="center"/>
            <w:hideMark/>
          </w:tcPr>
          <w:p w14:paraId="3E67697C" w14:textId="77777777" w:rsidR="00293F62" w:rsidRPr="009548E1" w:rsidRDefault="00293F62" w:rsidP="005C7D38">
            <w:pPr>
              <w:jc w:val="right"/>
            </w:pPr>
            <w:r w:rsidRPr="009548E1">
              <w:t>33.547.296,96</w:t>
            </w:r>
          </w:p>
        </w:tc>
        <w:tc>
          <w:tcPr>
            <w:tcW w:w="1740" w:type="dxa"/>
            <w:tcBorders>
              <w:top w:val="nil"/>
              <w:left w:val="nil"/>
              <w:bottom w:val="single" w:sz="4" w:space="0" w:color="auto"/>
              <w:right w:val="single" w:sz="4" w:space="0" w:color="auto"/>
            </w:tcBorders>
            <w:shd w:val="clear" w:color="auto" w:fill="auto"/>
            <w:vAlign w:val="center"/>
            <w:hideMark/>
          </w:tcPr>
          <w:p w14:paraId="20469FCD" w14:textId="77777777" w:rsidR="00293F62" w:rsidRPr="009548E1" w:rsidRDefault="00293F62" w:rsidP="005C7D38">
            <w:pPr>
              <w:jc w:val="center"/>
              <w:rPr>
                <w:sz w:val="20"/>
                <w:szCs w:val="20"/>
              </w:rPr>
            </w:pPr>
            <w:r w:rsidRPr="009548E1">
              <w:rPr>
                <w:sz w:val="20"/>
                <w:szCs w:val="20"/>
              </w:rPr>
              <w:t>smanjenje obujma imovine</w:t>
            </w:r>
          </w:p>
        </w:tc>
        <w:tc>
          <w:tcPr>
            <w:tcW w:w="1780" w:type="dxa"/>
            <w:tcBorders>
              <w:top w:val="nil"/>
              <w:left w:val="nil"/>
              <w:bottom w:val="single" w:sz="4" w:space="0" w:color="auto"/>
              <w:right w:val="single" w:sz="8" w:space="0" w:color="auto"/>
            </w:tcBorders>
            <w:shd w:val="clear" w:color="auto" w:fill="auto"/>
            <w:vAlign w:val="center"/>
            <w:hideMark/>
          </w:tcPr>
          <w:p w14:paraId="506D4893" w14:textId="77777777" w:rsidR="00293F62" w:rsidRPr="009548E1" w:rsidRDefault="00293F62" w:rsidP="005C7D38">
            <w:pPr>
              <w:jc w:val="center"/>
              <w:rPr>
                <w:sz w:val="20"/>
                <w:szCs w:val="20"/>
              </w:rPr>
            </w:pPr>
            <w:r w:rsidRPr="009548E1">
              <w:rPr>
                <w:sz w:val="20"/>
                <w:szCs w:val="20"/>
              </w:rPr>
              <w:t>P029</w:t>
            </w:r>
          </w:p>
        </w:tc>
      </w:tr>
      <w:tr w:rsidR="00293F62" w:rsidRPr="009548E1" w14:paraId="3299C2CD" w14:textId="77777777" w:rsidTr="005C7D38">
        <w:trPr>
          <w:trHeight w:val="510"/>
          <w:jc w:val="center"/>
        </w:trPr>
        <w:tc>
          <w:tcPr>
            <w:tcW w:w="5206" w:type="dxa"/>
            <w:tcBorders>
              <w:top w:val="nil"/>
              <w:left w:val="single" w:sz="8" w:space="0" w:color="auto"/>
              <w:bottom w:val="single" w:sz="4" w:space="0" w:color="auto"/>
              <w:right w:val="single" w:sz="4" w:space="0" w:color="auto"/>
            </w:tcBorders>
            <w:shd w:val="clear" w:color="auto" w:fill="auto"/>
            <w:vAlign w:val="center"/>
            <w:hideMark/>
          </w:tcPr>
          <w:p w14:paraId="2F964746" w14:textId="77777777" w:rsidR="00293F62" w:rsidRPr="009548E1" w:rsidRDefault="00293F62" w:rsidP="005C7D38">
            <w:pPr>
              <w:rPr>
                <w:sz w:val="20"/>
                <w:szCs w:val="20"/>
              </w:rPr>
            </w:pPr>
            <w:r w:rsidRPr="009548E1">
              <w:rPr>
                <w:sz w:val="20"/>
                <w:szCs w:val="20"/>
              </w:rPr>
              <w:t>Promjene u vrijednosti financijske imovine - Dionice i udjeli u glavnici (IDA članski kapital)</w:t>
            </w:r>
          </w:p>
        </w:tc>
        <w:tc>
          <w:tcPr>
            <w:tcW w:w="1960" w:type="dxa"/>
            <w:tcBorders>
              <w:top w:val="nil"/>
              <w:left w:val="nil"/>
              <w:bottom w:val="single" w:sz="4" w:space="0" w:color="auto"/>
              <w:right w:val="single" w:sz="4" w:space="0" w:color="auto"/>
            </w:tcBorders>
            <w:shd w:val="clear" w:color="auto" w:fill="auto"/>
            <w:noWrap/>
            <w:vAlign w:val="center"/>
            <w:hideMark/>
          </w:tcPr>
          <w:p w14:paraId="333923B2" w14:textId="77777777" w:rsidR="00293F62" w:rsidRPr="009548E1" w:rsidRDefault="00293F62" w:rsidP="005C7D38">
            <w:pPr>
              <w:jc w:val="right"/>
            </w:pPr>
            <w:r w:rsidRPr="009548E1">
              <w:t>23.841,02</w:t>
            </w:r>
          </w:p>
        </w:tc>
        <w:tc>
          <w:tcPr>
            <w:tcW w:w="1740" w:type="dxa"/>
            <w:tcBorders>
              <w:top w:val="nil"/>
              <w:left w:val="nil"/>
              <w:bottom w:val="single" w:sz="4" w:space="0" w:color="auto"/>
              <w:right w:val="single" w:sz="4" w:space="0" w:color="auto"/>
            </w:tcBorders>
            <w:shd w:val="clear" w:color="auto" w:fill="auto"/>
            <w:vAlign w:val="center"/>
            <w:hideMark/>
          </w:tcPr>
          <w:p w14:paraId="321B2048" w14:textId="77777777" w:rsidR="00293F62" w:rsidRPr="009548E1" w:rsidRDefault="00293F62" w:rsidP="005C7D38">
            <w:pPr>
              <w:jc w:val="center"/>
              <w:rPr>
                <w:sz w:val="20"/>
                <w:szCs w:val="20"/>
              </w:rPr>
            </w:pPr>
            <w:r w:rsidRPr="009548E1">
              <w:rPr>
                <w:sz w:val="20"/>
                <w:szCs w:val="20"/>
              </w:rPr>
              <w:t>povećanje vrijednosti imovine</w:t>
            </w:r>
          </w:p>
        </w:tc>
        <w:tc>
          <w:tcPr>
            <w:tcW w:w="1780" w:type="dxa"/>
            <w:tcBorders>
              <w:top w:val="nil"/>
              <w:left w:val="nil"/>
              <w:bottom w:val="single" w:sz="4" w:space="0" w:color="auto"/>
              <w:right w:val="single" w:sz="8" w:space="0" w:color="auto"/>
            </w:tcBorders>
            <w:shd w:val="clear" w:color="auto" w:fill="auto"/>
            <w:vAlign w:val="center"/>
            <w:hideMark/>
          </w:tcPr>
          <w:p w14:paraId="55B241F9" w14:textId="77777777" w:rsidR="00293F62" w:rsidRPr="009548E1" w:rsidRDefault="00293F62" w:rsidP="005C7D38">
            <w:pPr>
              <w:jc w:val="center"/>
              <w:rPr>
                <w:sz w:val="20"/>
                <w:szCs w:val="20"/>
              </w:rPr>
            </w:pPr>
            <w:r w:rsidRPr="009548E1">
              <w:rPr>
                <w:sz w:val="20"/>
                <w:szCs w:val="20"/>
              </w:rPr>
              <w:t>P013</w:t>
            </w:r>
          </w:p>
        </w:tc>
      </w:tr>
      <w:tr w:rsidR="00293F62" w:rsidRPr="009548E1" w14:paraId="6DC597FA" w14:textId="77777777" w:rsidTr="005C7D38">
        <w:trPr>
          <w:trHeight w:val="765"/>
          <w:jc w:val="center"/>
        </w:trPr>
        <w:tc>
          <w:tcPr>
            <w:tcW w:w="5206" w:type="dxa"/>
            <w:tcBorders>
              <w:top w:val="nil"/>
              <w:left w:val="single" w:sz="8" w:space="0" w:color="auto"/>
              <w:bottom w:val="nil"/>
              <w:right w:val="single" w:sz="4" w:space="0" w:color="auto"/>
            </w:tcBorders>
            <w:shd w:val="clear" w:color="auto" w:fill="auto"/>
            <w:vAlign w:val="center"/>
            <w:hideMark/>
          </w:tcPr>
          <w:p w14:paraId="4FD3080A" w14:textId="77777777" w:rsidR="00293F62" w:rsidRPr="009548E1" w:rsidRDefault="00293F62" w:rsidP="005C7D38">
            <w:pPr>
              <w:rPr>
                <w:sz w:val="20"/>
                <w:szCs w:val="20"/>
              </w:rPr>
            </w:pPr>
            <w:r w:rsidRPr="009548E1">
              <w:rPr>
                <w:sz w:val="20"/>
                <w:szCs w:val="20"/>
              </w:rPr>
              <w:t xml:space="preserve">Promjena u vrijednosti financijske imovine - Dionice i udjeli u glavnici (udjeli u pravnim osobama od posebnog interesa za Republiku Hrvatsku) </w:t>
            </w:r>
          </w:p>
        </w:tc>
        <w:tc>
          <w:tcPr>
            <w:tcW w:w="1960" w:type="dxa"/>
            <w:tcBorders>
              <w:top w:val="nil"/>
              <w:left w:val="nil"/>
              <w:bottom w:val="nil"/>
              <w:right w:val="single" w:sz="4" w:space="0" w:color="auto"/>
            </w:tcBorders>
            <w:shd w:val="clear" w:color="auto" w:fill="auto"/>
            <w:noWrap/>
            <w:vAlign w:val="center"/>
            <w:hideMark/>
          </w:tcPr>
          <w:p w14:paraId="6DE8521A" w14:textId="77777777" w:rsidR="00293F62" w:rsidRPr="009548E1" w:rsidRDefault="00293F62" w:rsidP="005C7D38">
            <w:pPr>
              <w:jc w:val="right"/>
            </w:pPr>
            <w:r w:rsidRPr="009548E1">
              <w:t>168.500.097,03</w:t>
            </w:r>
          </w:p>
        </w:tc>
        <w:tc>
          <w:tcPr>
            <w:tcW w:w="1740" w:type="dxa"/>
            <w:tcBorders>
              <w:top w:val="nil"/>
              <w:left w:val="nil"/>
              <w:bottom w:val="nil"/>
              <w:right w:val="single" w:sz="4" w:space="0" w:color="auto"/>
            </w:tcBorders>
            <w:shd w:val="clear" w:color="auto" w:fill="auto"/>
            <w:vAlign w:val="center"/>
            <w:hideMark/>
          </w:tcPr>
          <w:p w14:paraId="04A2B3EC" w14:textId="77777777" w:rsidR="00293F62" w:rsidRPr="009548E1" w:rsidRDefault="00293F62" w:rsidP="005C7D38">
            <w:pPr>
              <w:jc w:val="center"/>
              <w:rPr>
                <w:sz w:val="20"/>
                <w:szCs w:val="20"/>
              </w:rPr>
            </w:pPr>
            <w:r w:rsidRPr="009548E1">
              <w:rPr>
                <w:sz w:val="20"/>
                <w:szCs w:val="20"/>
              </w:rPr>
              <w:t>povećanje vrijednosti imovine</w:t>
            </w:r>
          </w:p>
        </w:tc>
        <w:tc>
          <w:tcPr>
            <w:tcW w:w="1780" w:type="dxa"/>
            <w:tcBorders>
              <w:top w:val="nil"/>
              <w:left w:val="nil"/>
              <w:bottom w:val="nil"/>
              <w:right w:val="single" w:sz="8" w:space="0" w:color="auto"/>
            </w:tcBorders>
            <w:shd w:val="clear" w:color="auto" w:fill="auto"/>
            <w:vAlign w:val="center"/>
            <w:hideMark/>
          </w:tcPr>
          <w:p w14:paraId="70DD1D9A" w14:textId="77777777" w:rsidR="00293F62" w:rsidRPr="009548E1" w:rsidRDefault="00293F62" w:rsidP="005C7D38">
            <w:pPr>
              <w:jc w:val="center"/>
              <w:rPr>
                <w:sz w:val="20"/>
                <w:szCs w:val="20"/>
              </w:rPr>
            </w:pPr>
            <w:r w:rsidRPr="009548E1">
              <w:rPr>
                <w:sz w:val="20"/>
                <w:szCs w:val="20"/>
              </w:rPr>
              <w:t>P013</w:t>
            </w:r>
          </w:p>
        </w:tc>
      </w:tr>
      <w:tr w:rsidR="00293F62" w:rsidRPr="009548E1" w14:paraId="1F884F95" w14:textId="77777777" w:rsidTr="005C7D38">
        <w:trPr>
          <w:trHeight w:val="780"/>
          <w:jc w:val="center"/>
        </w:trPr>
        <w:tc>
          <w:tcPr>
            <w:tcW w:w="520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064358D" w14:textId="77777777" w:rsidR="00293F62" w:rsidRPr="009548E1" w:rsidRDefault="00293F62" w:rsidP="005C7D38">
            <w:pPr>
              <w:rPr>
                <w:sz w:val="20"/>
                <w:szCs w:val="20"/>
              </w:rPr>
            </w:pPr>
            <w:r w:rsidRPr="009548E1">
              <w:rPr>
                <w:sz w:val="20"/>
                <w:szCs w:val="20"/>
              </w:rPr>
              <w:t>Promjena u obujmu financijske imovine - Dionice i udjeli u glavnici (udjeli u pravnim osobama od posebnog interesa za Republiku Hrvatsku)</w:t>
            </w:r>
          </w:p>
        </w:tc>
        <w:tc>
          <w:tcPr>
            <w:tcW w:w="1960" w:type="dxa"/>
            <w:tcBorders>
              <w:top w:val="single" w:sz="4" w:space="0" w:color="auto"/>
              <w:left w:val="nil"/>
              <w:bottom w:val="single" w:sz="8" w:space="0" w:color="auto"/>
              <w:right w:val="single" w:sz="4" w:space="0" w:color="auto"/>
            </w:tcBorders>
            <w:shd w:val="clear" w:color="auto" w:fill="auto"/>
            <w:noWrap/>
            <w:vAlign w:val="center"/>
            <w:hideMark/>
          </w:tcPr>
          <w:p w14:paraId="2F673312" w14:textId="77777777" w:rsidR="00293F62" w:rsidRPr="009548E1" w:rsidRDefault="00293F62" w:rsidP="005C7D38">
            <w:pPr>
              <w:jc w:val="right"/>
            </w:pPr>
            <w:r w:rsidRPr="009548E1">
              <w:t>5.376.638.389,12</w:t>
            </w:r>
          </w:p>
        </w:tc>
        <w:tc>
          <w:tcPr>
            <w:tcW w:w="1740" w:type="dxa"/>
            <w:tcBorders>
              <w:top w:val="single" w:sz="4" w:space="0" w:color="auto"/>
              <w:left w:val="nil"/>
              <w:bottom w:val="single" w:sz="8" w:space="0" w:color="auto"/>
              <w:right w:val="single" w:sz="4" w:space="0" w:color="auto"/>
            </w:tcBorders>
            <w:shd w:val="clear" w:color="auto" w:fill="auto"/>
            <w:vAlign w:val="center"/>
            <w:hideMark/>
          </w:tcPr>
          <w:p w14:paraId="251F1301" w14:textId="77777777" w:rsidR="00293F62" w:rsidRPr="009548E1" w:rsidRDefault="00293F62" w:rsidP="005C7D38">
            <w:pPr>
              <w:jc w:val="center"/>
              <w:rPr>
                <w:sz w:val="20"/>
                <w:szCs w:val="20"/>
              </w:rPr>
            </w:pPr>
            <w:r w:rsidRPr="009548E1">
              <w:rPr>
                <w:sz w:val="20"/>
                <w:szCs w:val="20"/>
              </w:rPr>
              <w:t>povećanje obujma imovine</w:t>
            </w:r>
          </w:p>
        </w:tc>
        <w:tc>
          <w:tcPr>
            <w:tcW w:w="1780" w:type="dxa"/>
            <w:tcBorders>
              <w:top w:val="single" w:sz="4" w:space="0" w:color="auto"/>
              <w:left w:val="nil"/>
              <w:bottom w:val="single" w:sz="8" w:space="0" w:color="auto"/>
              <w:right w:val="single" w:sz="8" w:space="0" w:color="auto"/>
            </w:tcBorders>
            <w:shd w:val="clear" w:color="auto" w:fill="auto"/>
            <w:vAlign w:val="center"/>
            <w:hideMark/>
          </w:tcPr>
          <w:p w14:paraId="3428E28F" w14:textId="77777777" w:rsidR="00293F62" w:rsidRPr="009548E1" w:rsidRDefault="00293F62" w:rsidP="005C7D38">
            <w:pPr>
              <w:jc w:val="center"/>
              <w:rPr>
                <w:sz w:val="20"/>
                <w:szCs w:val="20"/>
              </w:rPr>
            </w:pPr>
            <w:r w:rsidRPr="009548E1">
              <w:rPr>
                <w:sz w:val="20"/>
                <w:szCs w:val="20"/>
              </w:rPr>
              <w:t>P028</w:t>
            </w:r>
          </w:p>
        </w:tc>
      </w:tr>
    </w:tbl>
    <w:p w14:paraId="4B61D37B" w14:textId="77777777" w:rsidR="00293F62" w:rsidRPr="009548E1" w:rsidRDefault="00293F62" w:rsidP="00293F62">
      <w:pPr>
        <w:jc w:val="both"/>
      </w:pPr>
    </w:p>
    <w:p w14:paraId="02FAF30C" w14:textId="77777777" w:rsidR="00293F62" w:rsidRPr="009548E1" w:rsidRDefault="00293F62" w:rsidP="00293F62"/>
    <w:p w14:paraId="704AD345" w14:textId="77777777" w:rsidR="00293F62" w:rsidRPr="009548E1" w:rsidRDefault="00293F62" w:rsidP="00293F62">
      <w:pPr>
        <w:jc w:val="center"/>
        <w:outlineLvl w:val="0"/>
        <w:rPr>
          <w:b/>
          <w:bCs/>
          <w:sz w:val="28"/>
        </w:rPr>
      </w:pPr>
      <w:r w:rsidRPr="009548E1">
        <w:br w:type="page"/>
      </w:r>
      <w:r w:rsidRPr="009548E1">
        <w:rPr>
          <w:b/>
          <w:bCs/>
          <w:sz w:val="28"/>
        </w:rPr>
        <w:t>BILJEŠKE UZ IZVJEŠTAJ O RASHODIMA PREMA FUNKCIJSKOJ KLASIFIKACIJI</w:t>
      </w:r>
    </w:p>
    <w:p w14:paraId="0197FBF4" w14:textId="77777777" w:rsidR="00293F62" w:rsidRPr="009548E1" w:rsidRDefault="00293F62" w:rsidP="00293F62">
      <w:pPr>
        <w:jc w:val="both"/>
      </w:pPr>
    </w:p>
    <w:p w14:paraId="3EA969D3" w14:textId="77777777" w:rsidR="00293F62" w:rsidRPr="009548E1" w:rsidRDefault="00293F62" w:rsidP="00293F62">
      <w:pPr>
        <w:jc w:val="center"/>
        <w:rPr>
          <w:sz w:val="28"/>
          <w:szCs w:val="28"/>
        </w:rPr>
      </w:pPr>
      <w:r w:rsidRPr="009548E1">
        <w:rPr>
          <w:sz w:val="28"/>
          <w:szCs w:val="28"/>
        </w:rPr>
        <w:t xml:space="preserve">Bilješka 1. </w:t>
      </w:r>
    </w:p>
    <w:p w14:paraId="044DA79D" w14:textId="77777777" w:rsidR="00293F62" w:rsidRPr="009548E1" w:rsidRDefault="00293F62" w:rsidP="00293F62">
      <w:pPr>
        <w:jc w:val="both"/>
      </w:pPr>
      <w:r w:rsidRPr="009548E1">
        <w:t>U Obrascu RAS-funkcijski iskazani su rashodi razreda 3 i 4 prema funkcijama za koje su utrošeni.</w:t>
      </w:r>
    </w:p>
    <w:p w14:paraId="3223D674" w14:textId="77777777" w:rsidR="00293F62" w:rsidRPr="009548E1" w:rsidRDefault="00293F62" w:rsidP="00293F62">
      <w:pPr>
        <w:jc w:val="both"/>
        <w:rPr>
          <w:b/>
          <w:bCs/>
        </w:rPr>
      </w:pPr>
    </w:p>
    <w:p w14:paraId="23E6DE42" w14:textId="77777777" w:rsidR="00293F62" w:rsidRPr="009548E1" w:rsidRDefault="00293F62" w:rsidP="00293F62">
      <w:pPr>
        <w:jc w:val="both"/>
      </w:pPr>
      <w:r w:rsidRPr="009548E1">
        <w:t xml:space="preserve">Iznosi navedeni u Obrascu RAS-funkcijski odgovaraju ukupno iskazanim rashodima u Obrascu PR-RAS na šifri </w:t>
      </w:r>
      <w:r w:rsidRPr="009548E1">
        <w:rPr>
          <w:i/>
        </w:rPr>
        <w:t>3</w:t>
      </w:r>
      <w:r w:rsidRPr="009548E1">
        <w:t xml:space="preserve"> </w:t>
      </w:r>
      <w:r w:rsidRPr="009548E1">
        <w:rPr>
          <w:i/>
        </w:rPr>
        <w:t>Rashodi poslovanja</w:t>
      </w:r>
      <w:r w:rsidRPr="009548E1">
        <w:t xml:space="preserve">, umanjenom za iznos na šifri </w:t>
      </w:r>
      <w:r w:rsidRPr="009548E1">
        <w:rPr>
          <w:i/>
        </w:rPr>
        <w:t>367 Prijenosi proračunskim korisnicima iz nadležnog proračuna za financiranje redovne djelatnosti</w:t>
      </w:r>
      <w:r w:rsidRPr="009548E1">
        <w:t xml:space="preserve">, i šifri </w:t>
      </w:r>
      <w:r w:rsidRPr="009548E1">
        <w:rPr>
          <w:i/>
        </w:rPr>
        <w:t>4 Rashodi za nabavu nefinancijske imovine</w:t>
      </w:r>
      <w:r w:rsidRPr="009548E1">
        <w:t xml:space="preserve">. Iznos rashoda državnog proračuna iskazan u okviru podskupine 367 </w:t>
      </w:r>
      <w:r w:rsidRPr="009548E1">
        <w:rPr>
          <w:i/>
        </w:rPr>
        <w:t>Prijenosi proračunskim korisnicima iz nadležnog proračuna za financiranje redovne djelatnosti</w:t>
      </w:r>
      <w:r w:rsidRPr="009548E1">
        <w:t xml:space="preserve"> ne iskazuje se u Izvještaju o rashodima prema funkcijskoj klasifikaciji državnog proračuna s obzirom na to da je iskazan u izvještajima proračunskih korisnika o rashodima prema funkcijskoj klasifikaciji.</w:t>
      </w:r>
    </w:p>
    <w:p w14:paraId="6AE953B4" w14:textId="77777777" w:rsidR="00293F62" w:rsidRPr="009548E1" w:rsidRDefault="00293F62" w:rsidP="00293F62">
      <w:pPr>
        <w:jc w:val="both"/>
      </w:pPr>
    </w:p>
    <w:p w14:paraId="143D1668" w14:textId="77777777" w:rsidR="00293F62" w:rsidRPr="009548E1" w:rsidRDefault="00293F62" w:rsidP="00293F62">
      <w:pPr>
        <w:jc w:val="both"/>
      </w:pPr>
    </w:p>
    <w:p w14:paraId="06914A8F" w14:textId="77777777" w:rsidR="00293F62" w:rsidRPr="009548E1" w:rsidRDefault="00293F62" w:rsidP="00293F62">
      <w:pPr>
        <w:jc w:val="both"/>
      </w:pPr>
    </w:p>
    <w:p w14:paraId="0EE5FAF6" w14:textId="77777777" w:rsidR="00293F62" w:rsidRPr="009548E1" w:rsidRDefault="00293F62" w:rsidP="00293F62">
      <w:pPr>
        <w:jc w:val="both"/>
      </w:pPr>
    </w:p>
    <w:p w14:paraId="27D96CE3" w14:textId="77777777" w:rsidR="00293F62" w:rsidRPr="009548E1" w:rsidRDefault="00293F62" w:rsidP="00293F62">
      <w:pPr>
        <w:jc w:val="both"/>
      </w:pPr>
    </w:p>
    <w:p w14:paraId="5B32F8CF" w14:textId="77777777" w:rsidR="00293F62" w:rsidRPr="009548E1" w:rsidRDefault="00293F62" w:rsidP="00293F62">
      <w:pPr>
        <w:jc w:val="both"/>
      </w:pPr>
    </w:p>
    <w:p w14:paraId="4D800DD1" w14:textId="77777777" w:rsidR="00293F62" w:rsidRPr="009548E1" w:rsidRDefault="00293F62" w:rsidP="00293F62">
      <w:pPr>
        <w:jc w:val="both"/>
      </w:pPr>
    </w:p>
    <w:p w14:paraId="449EE4FD" w14:textId="77777777" w:rsidR="00293F62" w:rsidRPr="009548E1" w:rsidRDefault="00293F62" w:rsidP="00293F62">
      <w:pPr>
        <w:jc w:val="both"/>
      </w:pPr>
    </w:p>
    <w:p w14:paraId="1EC3A47D" w14:textId="77777777" w:rsidR="00293F62" w:rsidRPr="009548E1" w:rsidRDefault="00293F62" w:rsidP="00293F62">
      <w:pPr>
        <w:jc w:val="both"/>
      </w:pPr>
    </w:p>
    <w:p w14:paraId="528A1C70" w14:textId="77777777" w:rsidR="00293F62" w:rsidRPr="009548E1" w:rsidRDefault="00293F62" w:rsidP="00293F62">
      <w:pPr>
        <w:jc w:val="both"/>
      </w:pPr>
    </w:p>
    <w:p w14:paraId="1771C40A" w14:textId="77777777" w:rsidR="00293F62" w:rsidRPr="009548E1" w:rsidRDefault="00293F62" w:rsidP="00293F62">
      <w:pPr>
        <w:jc w:val="both"/>
      </w:pPr>
    </w:p>
    <w:p w14:paraId="027A74D3" w14:textId="77777777" w:rsidR="00293F62" w:rsidRPr="009548E1" w:rsidRDefault="00293F62" w:rsidP="00293F62">
      <w:pPr>
        <w:jc w:val="both"/>
      </w:pPr>
    </w:p>
    <w:p w14:paraId="2EE0772E" w14:textId="77777777" w:rsidR="00293F62" w:rsidRPr="009548E1" w:rsidRDefault="00293F62" w:rsidP="00293F62">
      <w:pPr>
        <w:jc w:val="both"/>
      </w:pPr>
    </w:p>
    <w:p w14:paraId="7448DFD9" w14:textId="77777777" w:rsidR="00293F62" w:rsidRPr="009548E1" w:rsidRDefault="00293F62" w:rsidP="00293F62">
      <w:pPr>
        <w:jc w:val="both"/>
      </w:pPr>
    </w:p>
    <w:p w14:paraId="2AC08B42" w14:textId="77777777" w:rsidR="00293F62" w:rsidRPr="009548E1" w:rsidRDefault="00293F62" w:rsidP="00293F62">
      <w:pPr>
        <w:jc w:val="both"/>
      </w:pPr>
    </w:p>
    <w:p w14:paraId="37AB2D88" w14:textId="77777777" w:rsidR="00293F62" w:rsidRPr="009548E1" w:rsidRDefault="00293F62" w:rsidP="00293F62">
      <w:pPr>
        <w:jc w:val="both"/>
      </w:pPr>
    </w:p>
    <w:p w14:paraId="3CFE89FB" w14:textId="77777777" w:rsidR="00293F62" w:rsidRPr="009548E1" w:rsidRDefault="00293F62" w:rsidP="00293F62">
      <w:pPr>
        <w:jc w:val="both"/>
      </w:pPr>
    </w:p>
    <w:p w14:paraId="0C003848" w14:textId="77777777" w:rsidR="00293F62" w:rsidRPr="009548E1" w:rsidRDefault="00293F62" w:rsidP="00293F62">
      <w:pPr>
        <w:jc w:val="both"/>
      </w:pPr>
    </w:p>
    <w:p w14:paraId="7F7BCA50" w14:textId="77777777" w:rsidR="00293F62" w:rsidRPr="009548E1" w:rsidRDefault="00293F62" w:rsidP="00293F62">
      <w:pPr>
        <w:jc w:val="both"/>
      </w:pPr>
    </w:p>
    <w:p w14:paraId="4B0D6D0D" w14:textId="77777777" w:rsidR="00293F62" w:rsidRPr="009548E1" w:rsidRDefault="00293F62" w:rsidP="00293F62">
      <w:pPr>
        <w:jc w:val="both"/>
      </w:pPr>
    </w:p>
    <w:p w14:paraId="4D048904" w14:textId="398B561F" w:rsidR="00293F62" w:rsidRPr="009548E1" w:rsidRDefault="00293F62" w:rsidP="00293F62">
      <w:pPr>
        <w:jc w:val="both"/>
      </w:pPr>
    </w:p>
    <w:p w14:paraId="42094721" w14:textId="77777777" w:rsidR="00293F62" w:rsidRPr="009548E1" w:rsidRDefault="00293F62" w:rsidP="00293F62">
      <w:pPr>
        <w:jc w:val="both"/>
      </w:pPr>
    </w:p>
    <w:p w14:paraId="78FA8D4F" w14:textId="77777777" w:rsidR="00293F62" w:rsidRPr="009548E1" w:rsidRDefault="00293F62" w:rsidP="00293F62">
      <w:pPr>
        <w:jc w:val="both"/>
      </w:pPr>
      <w:r w:rsidRPr="009548E1">
        <w:t>U Zagrebu, 28. veljače 2024.</w:t>
      </w:r>
    </w:p>
    <w:p w14:paraId="3F0C051D" w14:textId="77777777" w:rsidR="00293F62" w:rsidRPr="009548E1" w:rsidRDefault="00293F62" w:rsidP="00293F62">
      <w:pPr>
        <w:jc w:val="both"/>
      </w:pPr>
    </w:p>
    <w:p w14:paraId="4B2CF54A" w14:textId="77777777" w:rsidR="00293F62" w:rsidRPr="009548E1" w:rsidRDefault="00293F62" w:rsidP="00293F62">
      <w:pPr>
        <w:jc w:val="both"/>
      </w:pPr>
      <w:r w:rsidRPr="009548E1">
        <w:t>Osoba za kontakt: Martina Štefković</w:t>
      </w:r>
    </w:p>
    <w:p w14:paraId="16CAE3DD" w14:textId="77777777" w:rsidR="00293F62" w:rsidRPr="009548E1" w:rsidRDefault="00293F62" w:rsidP="00293F62">
      <w:pPr>
        <w:jc w:val="both"/>
      </w:pPr>
      <w:r w:rsidRPr="009548E1">
        <w:t>Telefon: 01/ 4591-196</w:t>
      </w:r>
    </w:p>
    <w:p w14:paraId="00944FCF" w14:textId="77777777" w:rsidR="00293F62" w:rsidRPr="009548E1" w:rsidRDefault="00293F62" w:rsidP="00293F62">
      <w:pPr>
        <w:jc w:val="both"/>
      </w:pPr>
    </w:p>
    <w:p w14:paraId="54C6665B" w14:textId="77777777" w:rsidR="00293F62" w:rsidRPr="009548E1" w:rsidRDefault="00293F62" w:rsidP="00293F62">
      <w:pPr>
        <w:jc w:val="both"/>
      </w:pPr>
    </w:p>
    <w:p w14:paraId="5A5186B4" w14:textId="77777777" w:rsidR="00293F62" w:rsidRPr="009548E1" w:rsidRDefault="00293F62" w:rsidP="00293F62">
      <w:pPr>
        <w:jc w:val="both"/>
      </w:pPr>
    </w:p>
    <w:p w14:paraId="04A97DF0" w14:textId="77777777" w:rsidR="00293F62" w:rsidRPr="009548E1" w:rsidRDefault="00293F62" w:rsidP="00293F62">
      <w:pPr>
        <w:ind w:left="4253"/>
        <w:jc w:val="center"/>
        <w:rPr>
          <w:b/>
        </w:rPr>
      </w:pPr>
      <w:r w:rsidRPr="009548E1">
        <w:rPr>
          <w:b/>
        </w:rPr>
        <w:t>MINISTAR FINANCIJA</w:t>
      </w:r>
    </w:p>
    <w:p w14:paraId="75510BCB" w14:textId="77777777" w:rsidR="00293F62" w:rsidRPr="009548E1" w:rsidRDefault="00293F62" w:rsidP="00293F62">
      <w:pPr>
        <w:jc w:val="center"/>
        <w:rPr>
          <w:sz w:val="28"/>
          <w:szCs w:val="28"/>
        </w:rPr>
      </w:pPr>
    </w:p>
    <w:p w14:paraId="413E6002" w14:textId="77777777" w:rsidR="00293F62" w:rsidRPr="009548E1" w:rsidRDefault="00293F62" w:rsidP="00293F62">
      <w:pPr>
        <w:rPr>
          <w:sz w:val="28"/>
          <w:szCs w:val="28"/>
        </w:rPr>
      </w:pPr>
    </w:p>
    <w:p w14:paraId="4AF36880" w14:textId="6C9209B5" w:rsidR="00293F62" w:rsidRPr="00293F62" w:rsidRDefault="00293F62" w:rsidP="00293F62">
      <w:pPr>
        <w:ind w:left="4253"/>
        <w:jc w:val="center"/>
        <w:rPr>
          <w:szCs w:val="20"/>
        </w:rPr>
      </w:pPr>
      <w:r w:rsidRPr="009548E1">
        <w:rPr>
          <w:b/>
        </w:rPr>
        <w:t xml:space="preserve">dr. </w:t>
      </w:r>
      <w:proofErr w:type="spellStart"/>
      <w:r w:rsidRPr="009548E1">
        <w:rPr>
          <w:b/>
        </w:rPr>
        <w:t>sc</w:t>
      </w:r>
      <w:proofErr w:type="spellEnd"/>
      <w:r w:rsidRPr="009548E1">
        <w:rPr>
          <w:b/>
        </w:rPr>
        <w:t>. Marko Primorac</w:t>
      </w:r>
    </w:p>
    <w:sectPr w:rsidR="00293F62" w:rsidRPr="00293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5B8"/>
    <w:multiLevelType w:val="hybridMultilevel"/>
    <w:tmpl w:val="9D08C8C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C7304"/>
    <w:multiLevelType w:val="hybridMultilevel"/>
    <w:tmpl w:val="6F14DEBA"/>
    <w:lvl w:ilvl="0" w:tplc="B1E8A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52046F"/>
    <w:multiLevelType w:val="hybridMultilevel"/>
    <w:tmpl w:val="6C7E933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890FE1"/>
    <w:multiLevelType w:val="hybridMultilevel"/>
    <w:tmpl w:val="47C4BE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DE11F4F"/>
    <w:multiLevelType w:val="hybridMultilevel"/>
    <w:tmpl w:val="A4806116"/>
    <w:lvl w:ilvl="0" w:tplc="8E3E8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750138"/>
    <w:multiLevelType w:val="hybridMultilevel"/>
    <w:tmpl w:val="460A4D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856756"/>
    <w:multiLevelType w:val="hybridMultilevel"/>
    <w:tmpl w:val="2A1E08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B911FA"/>
    <w:multiLevelType w:val="hybridMultilevel"/>
    <w:tmpl w:val="A920B396"/>
    <w:lvl w:ilvl="0" w:tplc="8E3E8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0972DB"/>
    <w:multiLevelType w:val="hybridMultilevel"/>
    <w:tmpl w:val="216A3B8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05193"/>
    <w:multiLevelType w:val="hybridMultilevel"/>
    <w:tmpl w:val="90D0ED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ABF37E5"/>
    <w:multiLevelType w:val="hybridMultilevel"/>
    <w:tmpl w:val="2AB0E6F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5F3164"/>
    <w:multiLevelType w:val="multilevel"/>
    <w:tmpl w:val="F328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C76EF"/>
    <w:multiLevelType w:val="hybridMultilevel"/>
    <w:tmpl w:val="94FACBCA"/>
    <w:lvl w:ilvl="0" w:tplc="822C6858">
      <w:start w:val="1"/>
      <w:numFmt w:val="lowerLetter"/>
      <w:lvlText w:val="%1."/>
      <w:lvlJc w:val="left"/>
      <w:pPr>
        <w:ind w:left="709" w:firstLine="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3" w15:restartNumberingAfterBreak="0">
    <w:nsid w:val="1CDC5584"/>
    <w:multiLevelType w:val="hybridMultilevel"/>
    <w:tmpl w:val="C2C4917E"/>
    <w:lvl w:ilvl="0" w:tplc="8E3E8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1445E1"/>
    <w:multiLevelType w:val="multilevel"/>
    <w:tmpl w:val="38AE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6C0613"/>
    <w:multiLevelType w:val="hybridMultilevel"/>
    <w:tmpl w:val="4AE6B3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A4431F6"/>
    <w:multiLevelType w:val="hybridMultilevel"/>
    <w:tmpl w:val="E5BCE548"/>
    <w:lvl w:ilvl="0" w:tplc="041A0019">
      <w:start w:val="1"/>
      <w:numFmt w:val="lowerLetter"/>
      <w:lvlText w:val="%1."/>
      <w:lvlJc w:val="left"/>
      <w:pPr>
        <w:ind w:left="1429" w:hanging="360"/>
      </w:pPr>
    </w:lvl>
    <w:lvl w:ilvl="1" w:tplc="041A0019">
      <w:start w:val="1"/>
      <w:numFmt w:val="lowerLetter"/>
      <w:lvlText w:val="%2."/>
      <w:lvlJc w:val="left"/>
      <w:pPr>
        <w:ind w:left="2149" w:hanging="360"/>
      </w:pPr>
    </w:lvl>
    <w:lvl w:ilvl="2" w:tplc="041A001B">
      <w:start w:val="1"/>
      <w:numFmt w:val="lowerRoman"/>
      <w:lvlText w:val="%3."/>
      <w:lvlJc w:val="right"/>
      <w:pPr>
        <w:ind w:left="2869" w:hanging="180"/>
      </w:pPr>
    </w:lvl>
    <w:lvl w:ilvl="3" w:tplc="041A000F">
      <w:start w:val="1"/>
      <w:numFmt w:val="decimal"/>
      <w:lvlText w:val="%4."/>
      <w:lvlJc w:val="left"/>
      <w:pPr>
        <w:ind w:left="3589" w:hanging="360"/>
      </w:pPr>
    </w:lvl>
    <w:lvl w:ilvl="4" w:tplc="041A0019">
      <w:start w:val="1"/>
      <w:numFmt w:val="lowerLetter"/>
      <w:lvlText w:val="%5."/>
      <w:lvlJc w:val="left"/>
      <w:pPr>
        <w:ind w:left="4309" w:hanging="360"/>
      </w:pPr>
    </w:lvl>
    <w:lvl w:ilvl="5" w:tplc="041A001B">
      <w:start w:val="1"/>
      <w:numFmt w:val="lowerRoman"/>
      <w:lvlText w:val="%6."/>
      <w:lvlJc w:val="right"/>
      <w:pPr>
        <w:ind w:left="5029" w:hanging="180"/>
      </w:pPr>
    </w:lvl>
    <w:lvl w:ilvl="6" w:tplc="041A000F">
      <w:start w:val="1"/>
      <w:numFmt w:val="decimal"/>
      <w:lvlText w:val="%7."/>
      <w:lvlJc w:val="left"/>
      <w:pPr>
        <w:ind w:left="5749" w:hanging="360"/>
      </w:pPr>
    </w:lvl>
    <w:lvl w:ilvl="7" w:tplc="041A0019">
      <w:start w:val="1"/>
      <w:numFmt w:val="lowerLetter"/>
      <w:lvlText w:val="%8."/>
      <w:lvlJc w:val="left"/>
      <w:pPr>
        <w:ind w:left="6469" w:hanging="360"/>
      </w:pPr>
    </w:lvl>
    <w:lvl w:ilvl="8" w:tplc="041A001B">
      <w:start w:val="1"/>
      <w:numFmt w:val="lowerRoman"/>
      <w:lvlText w:val="%9."/>
      <w:lvlJc w:val="right"/>
      <w:pPr>
        <w:ind w:left="7189" w:hanging="180"/>
      </w:pPr>
    </w:lvl>
  </w:abstractNum>
  <w:abstractNum w:abstractNumId="17" w15:restartNumberingAfterBreak="0">
    <w:nsid w:val="2ABE0350"/>
    <w:multiLevelType w:val="hybridMultilevel"/>
    <w:tmpl w:val="65E0DD46"/>
    <w:lvl w:ilvl="0" w:tplc="8E3E8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AED07BD"/>
    <w:multiLevelType w:val="hybridMultilevel"/>
    <w:tmpl w:val="052EF0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FFE5A61"/>
    <w:multiLevelType w:val="hybridMultilevel"/>
    <w:tmpl w:val="2F6EF0D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3A210C"/>
    <w:multiLevelType w:val="hybridMultilevel"/>
    <w:tmpl w:val="01B0F57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091FDA"/>
    <w:multiLevelType w:val="hybridMultilevel"/>
    <w:tmpl w:val="702CD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84859B7"/>
    <w:multiLevelType w:val="hybridMultilevel"/>
    <w:tmpl w:val="7F96164C"/>
    <w:lvl w:ilvl="0" w:tplc="3392EF14">
      <w:start w:val="6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95C3D97"/>
    <w:multiLevelType w:val="hybridMultilevel"/>
    <w:tmpl w:val="2F1E08BE"/>
    <w:lvl w:ilvl="0" w:tplc="8E3E8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BCC3354"/>
    <w:multiLevelType w:val="hybridMultilevel"/>
    <w:tmpl w:val="D43EF6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D070265"/>
    <w:multiLevelType w:val="hybridMultilevel"/>
    <w:tmpl w:val="16F408B0"/>
    <w:lvl w:ilvl="0" w:tplc="B1E8A1E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3F931F7E"/>
    <w:multiLevelType w:val="hybridMultilevel"/>
    <w:tmpl w:val="5B121FA0"/>
    <w:lvl w:ilvl="0" w:tplc="96AE1794">
      <w:start w:val="1"/>
      <w:numFmt w:val="bullet"/>
      <w:lvlText w:val=""/>
      <w:lvlJc w:val="left"/>
      <w:pPr>
        <w:ind w:left="720" w:hanging="360"/>
      </w:pPr>
      <w:rPr>
        <w:rFonts w:ascii="Symbol" w:hAnsi="Symbol"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9685016"/>
    <w:multiLevelType w:val="hybridMultilevel"/>
    <w:tmpl w:val="55F62362"/>
    <w:lvl w:ilvl="0" w:tplc="B1E8A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25A1785"/>
    <w:multiLevelType w:val="hybridMultilevel"/>
    <w:tmpl w:val="F29A98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B20BF"/>
    <w:multiLevelType w:val="hybridMultilevel"/>
    <w:tmpl w:val="1FAEB2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62056D1"/>
    <w:multiLevelType w:val="hybridMultilevel"/>
    <w:tmpl w:val="6EECE6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5E535709"/>
    <w:multiLevelType w:val="hybridMultilevel"/>
    <w:tmpl w:val="716A87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F6B60A0"/>
    <w:multiLevelType w:val="hybridMultilevel"/>
    <w:tmpl w:val="2AA0ACD8"/>
    <w:lvl w:ilvl="0" w:tplc="B1E8A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1B349D8"/>
    <w:multiLevelType w:val="hybridMultilevel"/>
    <w:tmpl w:val="156081D4"/>
    <w:lvl w:ilvl="0" w:tplc="254E90B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E4128B"/>
    <w:multiLevelType w:val="hybridMultilevel"/>
    <w:tmpl w:val="CAB2BADE"/>
    <w:lvl w:ilvl="0" w:tplc="AFA0272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F9243C"/>
    <w:multiLevelType w:val="hybridMultilevel"/>
    <w:tmpl w:val="96CCB43A"/>
    <w:lvl w:ilvl="0" w:tplc="8E3E8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3F441C1"/>
    <w:multiLevelType w:val="hybridMultilevel"/>
    <w:tmpl w:val="B590019E"/>
    <w:lvl w:ilvl="0" w:tplc="B1E8A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A3248E1"/>
    <w:multiLevelType w:val="multilevel"/>
    <w:tmpl w:val="3E6A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2C1940"/>
    <w:multiLevelType w:val="hybridMultilevel"/>
    <w:tmpl w:val="EF32E1A8"/>
    <w:lvl w:ilvl="0" w:tplc="D98EAD1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1F7C80"/>
    <w:multiLevelType w:val="hybridMultilevel"/>
    <w:tmpl w:val="BCF0E54A"/>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06E071D"/>
    <w:multiLevelType w:val="hybridMultilevel"/>
    <w:tmpl w:val="271E0A66"/>
    <w:lvl w:ilvl="0" w:tplc="94F87B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1435F35"/>
    <w:multiLevelType w:val="hybridMultilevel"/>
    <w:tmpl w:val="603E9D6A"/>
    <w:lvl w:ilvl="0" w:tplc="B1E8A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4F82CEE"/>
    <w:multiLevelType w:val="hybridMultilevel"/>
    <w:tmpl w:val="B972E594"/>
    <w:lvl w:ilvl="0" w:tplc="94F87B78">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3" w15:restartNumberingAfterBreak="0">
    <w:nsid w:val="75382939"/>
    <w:multiLevelType w:val="hybridMultilevel"/>
    <w:tmpl w:val="2EFE4D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BFA05F6"/>
    <w:multiLevelType w:val="hybridMultilevel"/>
    <w:tmpl w:val="B45221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7D7588"/>
    <w:multiLevelType w:val="hybridMultilevel"/>
    <w:tmpl w:val="4736427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7FE25610"/>
    <w:multiLevelType w:val="hybridMultilevel"/>
    <w:tmpl w:val="07EC43D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9"/>
  </w:num>
  <w:num w:numId="3">
    <w:abstractNumId w:val="35"/>
  </w:num>
  <w:num w:numId="4">
    <w:abstractNumId w:val="9"/>
  </w:num>
  <w:num w:numId="5">
    <w:abstractNumId w:val="31"/>
  </w:num>
  <w:num w:numId="6">
    <w:abstractNumId w:val="5"/>
  </w:num>
  <w:num w:numId="7">
    <w:abstractNumId w:val="27"/>
  </w:num>
  <w:num w:numId="8">
    <w:abstractNumId w:val="2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4"/>
  </w:num>
  <w:num w:numId="12">
    <w:abstractNumId w:val="10"/>
  </w:num>
  <w:num w:numId="13">
    <w:abstractNumId w:val="32"/>
  </w:num>
  <w:num w:numId="14">
    <w:abstractNumId w:val="2"/>
  </w:num>
  <w:num w:numId="15">
    <w:abstractNumId w:val="41"/>
  </w:num>
  <w:num w:numId="16">
    <w:abstractNumId w:val="22"/>
  </w:num>
  <w:num w:numId="17">
    <w:abstractNumId w:val="38"/>
  </w:num>
  <w:num w:numId="18">
    <w:abstractNumId w:val="46"/>
  </w:num>
  <w:num w:numId="19">
    <w:abstractNumId w:val="19"/>
  </w:num>
  <w:num w:numId="20">
    <w:abstractNumId w:val="0"/>
  </w:num>
  <w:num w:numId="21">
    <w:abstractNumId w:val="8"/>
  </w:num>
  <w:num w:numId="22">
    <w:abstractNumId w:val="3"/>
  </w:num>
  <w:num w:numId="23">
    <w:abstractNumId w:val="30"/>
  </w:num>
  <w:num w:numId="24">
    <w:abstractNumId w:val="44"/>
  </w:num>
  <w:num w:numId="25">
    <w:abstractNumId w:val="17"/>
  </w:num>
  <w:num w:numId="26">
    <w:abstractNumId w:val="23"/>
  </w:num>
  <w:num w:numId="27">
    <w:abstractNumId w:val="4"/>
  </w:num>
  <w:num w:numId="28">
    <w:abstractNumId w:val="7"/>
  </w:num>
  <w:num w:numId="29">
    <w:abstractNumId w:val="42"/>
  </w:num>
  <w:num w:numId="30">
    <w:abstractNumId w:val="16"/>
  </w:num>
  <w:num w:numId="31">
    <w:abstractNumId w:val="12"/>
  </w:num>
  <w:num w:numId="32">
    <w:abstractNumId w:val="40"/>
  </w:num>
  <w:num w:numId="33">
    <w:abstractNumId w:val="15"/>
  </w:num>
  <w:num w:numId="34">
    <w:abstractNumId w:val="39"/>
  </w:num>
  <w:num w:numId="35">
    <w:abstractNumId w:val="33"/>
  </w:num>
  <w:num w:numId="36">
    <w:abstractNumId w:val="13"/>
  </w:num>
  <w:num w:numId="37">
    <w:abstractNumId w:val="36"/>
  </w:num>
  <w:num w:numId="38">
    <w:abstractNumId w:val="1"/>
  </w:num>
  <w:num w:numId="39">
    <w:abstractNumId w:val="6"/>
  </w:num>
  <w:num w:numId="40">
    <w:abstractNumId w:val="20"/>
  </w:num>
  <w:num w:numId="41">
    <w:abstractNumId w:val="21"/>
  </w:num>
  <w:num w:numId="42">
    <w:abstractNumId w:val="43"/>
  </w:num>
  <w:num w:numId="43">
    <w:abstractNumId w:val="45"/>
  </w:num>
  <w:num w:numId="44">
    <w:abstractNumId w:val="34"/>
  </w:num>
  <w:num w:numId="45">
    <w:abstractNumId w:val="26"/>
  </w:num>
  <w:num w:numId="46">
    <w:abstractNumId w:val="37"/>
  </w:num>
  <w:num w:numId="47">
    <w:abstractNumId w:val="1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C1"/>
    <w:rsid w:val="000012D0"/>
    <w:rsid w:val="0001767F"/>
    <w:rsid w:val="00023FD5"/>
    <w:rsid w:val="00032C1E"/>
    <w:rsid w:val="00034C44"/>
    <w:rsid w:val="000703AA"/>
    <w:rsid w:val="00070C00"/>
    <w:rsid w:val="00087184"/>
    <w:rsid w:val="000B3D83"/>
    <w:rsid w:val="000D2040"/>
    <w:rsid w:val="000E6BCA"/>
    <w:rsid w:val="001268DF"/>
    <w:rsid w:val="0014397B"/>
    <w:rsid w:val="00164FFA"/>
    <w:rsid w:val="00175599"/>
    <w:rsid w:val="00176DE1"/>
    <w:rsid w:val="0018324B"/>
    <w:rsid w:val="001C2531"/>
    <w:rsid w:val="001D561B"/>
    <w:rsid w:val="001E12BF"/>
    <w:rsid w:val="00212F4C"/>
    <w:rsid w:val="00232BB5"/>
    <w:rsid w:val="00233A22"/>
    <w:rsid w:val="00250A19"/>
    <w:rsid w:val="00293F62"/>
    <w:rsid w:val="002A3EBC"/>
    <w:rsid w:val="002C41C2"/>
    <w:rsid w:val="002D2B2F"/>
    <w:rsid w:val="002E2D56"/>
    <w:rsid w:val="002F0328"/>
    <w:rsid w:val="002F618A"/>
    <w:rsid w:val="003021C4"/>
    <w:rsid w:val="003054EA"/>
    <w:rsid w:val="003327D4"/>
    <w:rsid w:val="00332E7A"/>
    <w:rsid w:val="003757EA"/>
    <w:rsid w:val="00380609"/>
    <w:rsid w:val="00381106"/>
    <w:rsid w:val="00390CFC"/>
    <w:rsid w:val="0039484E"/>
    <w:rsid w:val="003A4CF6"/>
    <w:rsid w:val="003C57F4"/>
    <w:rsid w:val="003E1D7A"/>
    <w:rsid w:val="003F3A9D"/>
    <w:rsid w:val="004010E0"/>
    <w:rsid w:val="00420C83"/>
    <w:rsid w:val="004512DF"/>
    <w:rsid w:val="00493121"/>
    <w:rsid w:val="00496880"/>
    <w:rsid w:val="004B6BD3"/>
    <w:rsid w:val="004D7CE9"/>
    <w:rsid w:val="004E0FFA"/>
    <w:rsid w:val="004E6B96"/>
    <w:rsid w:val="00522DFC"/>
    <w:rsid w:val="005244C1"/>
    <w:rsid w:val="005431A0"/>
    <w:rsid w:val="005E728B"/>
    <w:rsid w:val="00617B19"/>
    <w:rsid w:val="0062260A"/>
    <w:rsid w:val="00631229"/>
    <w:rsid w:val="00642BFD"/>
    <w:rsid w:val="006440F9"/>
    <w:rsid w:val="00651214"/>
    <w:rsid w:val="006645C6"/>
    <w:rsid w:val="00685FE5"/>
    <w:rsid w:val="006A06C9"/>
    <w:rsid w:val="006B3BF6"/>
    <w:rsid w:val="006B7C8F"/>
    <w:rsid w:val="006C62C5"/>
    <w:rsid w:val="006D4D79"/>
    <w:rsid w:val="006F5227"/>
    <w:rsid w:val="00776C3C"/>
    <w:rsid w:val="007A4CE3"/>
    <w:rsid w:val="007D7CA1"/>
    <w:rsid w:val="00800A3B"/>
    <w:rsid w:val="0084022B"/>
    <w:rsid w:val="00840CFD"/>
    <w:rsid w:val="008757BE"/>
    <w:rsid w:val="008D0D63"/>
    <w:rsid w:val="008D639C"/>
    <w:rsid w:val="008E3828"/>
    <w:rsid w:val="008E412D"/>
    <w:rsid w:val="00917597"/>
    <w:rsid w:val="00921FBF"/>
    <w:rsid w:val="00934463"/>
    <w:rsid w:val="009454F6"/>
    <w:rsid w:val="009548E1"/>
    <w:rsid w:val="00956CE7"/>
    <w:rsid w:val="0099319D"/>
    <w:rsid w:val="009933F6"/>
    <w:rsid w:val="009A4341"/>
    <w:rsid w:val="009C5CA5"/>
    <w:rsid w:val="009D1EDB"/>
    <w:rsid w:val="009D295B"/>
    <w:rsid w:val="009D6451"/>
    <w:rsid w:val="00AC487F"/>
    <w:rsid w:val="00AC61C4"/>
    <w:rsid w:val="00AC7CFE"/>
    <w:rsid w:val="00AE39CF"/>
    <w:rsid w:val="00B802AC"/>
    <w:rsid w:val="00B85481"/>
    <w:rsid w:val="00BA2A36"/>
    <w:rsid w:val="00BB6CFB"/>
    <w:rsid w:val="00BD1EA0"/>
    <w:rsid w:val="00BE6F7F"/>
    <w:rsid w:val="00C147CE"/>
    <w:rsid w:val="00C57EE2"/>
    <w:rsid w:val="00C801CD"/>
    <w:rsid w:val="00C827D4"/>
    <w:rsid w:val="00CC18AF"/>
    <w:rsid w:val="00CF08C8"/>
    <w:rsid w:val="00D02EBC"/>
    <w:rsid w:val="00D2178A"/>
    <w:rsid w:val="00D56D1C"/>
    <w:rsid w:val="00D629D4"/>
    <w:rsid w:val="00D62BE2"/>
    <w:rsid w:val="00D654A7"/>
    <w:rsid w:val="00D83B41"/>
    <w:rsid w:val="00D902C6"/>
    <w:rsid w:val="00D96307"/>
    <w:rsid w:val="00DC057F"/>
    <w:rsid w:val="00DC46C1"/>
    <w:rsid w:val="00DD71CA"/>
    <w:rsid w:val="00E04D8E"/>
    <w:rsid w:val="00E10444"/>
    <w:rsid w:val="00E562D9"/>
    <w:rsid w:val="00E7292B"/>
    <w:rsid w:val="00E74598"/>
    <w:rsid w:val="00E956A2"/>
    <w:rsid w:val="00EA20C6"/>
    <w:rsid w:val="00EA7ACF"/>
    <w:rsid w:val="00EB2BC5"/>
    <w:rsid w:val="00EC2108"/>
    <w:rsid w:val="00F12FAC"/>
    <w:rsid w:val="00F25B45"/>
    <w:rsid w:val="00F8564D"/>
    <w:rsid w:val="00FA55A7"/>
    <w:rsid w:val="00FC76B7"/>
    <w:rsid w:val="00FD384C"/>
    <w:rsid w:val="00FD609C"/>
    <w:rsid w:val="00FE4F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0AE1"/>
  <w15:chartTrackingRefBased/>
  <w15:docId w15:val="{6968732B-A9F1-4988-96AA-DD799435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92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DC46C1"/>
    <w:pPr>
      <w:keepNext/>
      <w:jc w:val="center"/>
      <w:outlineLvl w:val="0"/>
    </w:pPr>
    <w:rPr>
      <w:b/>
      <w:bCs/>
      <w:sz w:val="28"/>
    </w:rPr>
  </w:style>
  <w:style w:type="paragraph" w:styleId="Naslov2">
    <w:name w:val="heading 2"/>
    <w:basedOn w:val="Normal"/>
    <w:next w:val="Normal"/>
    <w:link w:val="Naslov2Char"/>
    <w:qFormat/>
    <w:rsid w:val="00F12FAC"/>
    <w:pPr>
      <w:keepNext/>
      <w:ind w:left="360"/>
      <w:jc w:val="center"/>
      <w:outlineLvl w:val="1"/>
    </w:pPr>
    <w:rPr>
      <w:b/>
      <w:bCs/>
      <w:sz w:val="28"/>
    </w:rPr>
  </w:style>
  <w:style w:type="paragraph" w:styleId="Naslov3">
    <w:name w:val="heading 3"/>
    <w:basedOn w:val="Normal"/>
    <w:next w:val="Normal"/>
    <w:link w:val="Naslov3Char"/>
    <w:qFormat/>
    <w:rsid w:val="00F12FAC"/>
    <w:pPr>
      <w:keepNext/>
      <w:spacing w:before="240" w:after="60"/>
      <w:outlineLvl w:val="2"/>
    </w:pPr>
    <w:rPr>
      <w:rFonts w:ascii="Arial" w:hAnsi="Arial"/>
      <w:b/>
      <w:bCs/>
      <w:sz w:val="26"/>
      <w:szCs w:val="26"/>
    </w:rPr>
  </w:style>
  <w:style w:type="paragraph" w:styleId="Naslov6">
    <w:name w:val="heading 6"/>
    <w:basedOn w:val="Normal"/>
    <w:next w:val="Normal"/>
    <w:link w:val="Naslov6Char"/>
    <w:qFormat/>
    <w:rsid w:val="00F12FAC"/>
    <w:pPr>
      <w:keepNext/>
      <w:outlineLvl w:val="5"/>
    </w:pPr>
    <w:rPr>
      <w:szCs w:val="20"/>
      <w:lang w:val="en-AU"/>
    </w:rPr>
  </w:style>
  <w:style w:type="paragraph" w:styleId="Naslov8">
    <w:name w:val="heading 8"/>
    <w:basedOn w:val="Normal"/>
    <w:next w:val="Normal"/>
    <w:link w:val="Naslov8Char"/>
    <w:semiHidden/>
    <w:unhideWhenUsed/>
    <w:qFormat/>
    <w:rsid w:val="00F12FAC"/>
    <w:pPr>
      <w:spacing w:before="240" w:after="60"/>
      <w:outlineLvl w:val="7"/>
    </w:pPr>
    <w:rPr>
      <w:rFonts w:ascii="Calibri" w:hAnsi="Calibri"/>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C46C1"/>
    <w:rPr>
      <w:rFonts w:ascii="Times New Roman" w:eastAsia="Times New Roman" w:hAnsi="Times New Roman" w:cs="Times New Roman"/>
      <w:b/>
      <w:bCs/>
      <w:sz w:val="28"/>
      <w:szCs w:val="24"/>
      <w:lang w:eastAsia="hr-HR"/>
    </w:rPr>
  </w:style>
  <w:style w:type="paragraph" w:styleId="Naslov">
    <w:name w:val="Title"/>
    <w:basedOn w:val="Normal"/>
    <w:link w:val="NaslovChar"/>
    <w:qFormat/>
    <w:rsid w:val="00DC46C1"/>
    <w:pPr>
      <w:jc w:val="center"/>
    </w:pPr>
    <w:rPr>
      <w:b/>
      <w:bCs/>
      <w:sz w:val="28"/>
    </w:rPr>
  </w:style>
  <w:style w:type="character" w:customStyle="1" w:styleId="NaslovChar">
    <w:name w:val="Naslov Char"/>
    <w:basedOn w:val="Zadanifontodlomka"/>
    <w:link w:val="Naslov"/>
    <w:rsid w:val="00DC46C1"/>
    <w:rPr>
      <w:rFonts w:ascii="Times New Roman" w:eastAsia="Times New Roman" w:hAnsi="Times New Roman" w:cs="Times New Roman"/>
      <w:b/>
      <w:bCs/>
      <w:sz w:val="28"/>
      <w:szCs w:val="24"/>
      <w:lang w:eastAsia="hr-HR"/>
    </w:rPr>
  </w:style>
  <w:style w:type="paragraph" w:styleId="Tijeloteksta">
    <w:name w:val="Body Text"/>
    <w:basedOn w:val="Normal"/>
    <w:link w:val="TijelotekstaChar"/>
    <w:rsid w:val="00DC46C1"/>
    <w:pPr>
      <w:jc w:val="both"/>
    </w:pPr>
    <w:rPr>
      <w:szCs w:val="20"/>
    </w:rPr>
  </w:style>
  <w:style w:type="character" w:customStyle="1" w:styleId="TijelotekstaChar">
    <w:name w:val="Tijelo teksta Char"/>
    <w:basedOn w:val="Zadanifontodlomka"/>
    <w:link w:val="Tijeloteksta"/>
    <w:rsid w:val="00DC46C1"/>
    <w:rPr>
      <w:rFonts w:ascii="Times New Roman" w:eastAsia="Times New Roman" w:hAnsi="Times New Roman" w:cs="Times New Roman"/>
      <w:sz w:val="24"/>
      <w:szCs w:val="20"/>
      <w:lang w:eastAsia="hr-HR"/>
    </w:rPr>
  </w:style>
  <w:style w:type="character" w:styleId="Naglaeno">
    <w:name w:val="Strong"/>
    <w:uiPriority w:val="22"/>
    <w:qFormat/>
    <w:rsid w:val="00DC46C1"/>
    <w:rPr>
      <w:b/>
      <w:bCs/>
    </w:rPr>
  </w:style>
  <w:style w:type="paragraph" w:customStyle="1" w:styleId="xmsonormal">
    <w:name w:val="x_msonormal"/>
    <w:basedOn w:val="Normal"/>
    <w:rsid w:val="00617B19"/>
    <w:pPr>
      <w:spacing w:before="100" w:beforeAutospacing="1" w:after="100" w:afterAutospacing="1"/>
    </w:pPr>
  </w:style>
  <w:style w:type="paragraph" w:styleId="Odlomakpopisa">
    <w:name w:val="List Paragraph"/>
    <w:basedOn w:val="Normal"/>
    <w:link w:val="OdlomakpopisaChar"/>
    <w:uiPriority w:val="34"/>
    <w:qFormat/>
    <w:rsid w:val="00685FE5"/>
    <w:pPr>
      <w:ind w:left="720"/>
      <w:contextualSpacing/>
    </w:pPr>
  </w:style>
  <w:style w:type="character" w:customStyle="1" w:styleId="OdlomakpopisaChar">
    <w:name w:val="Odlomak popisa Char"/>
    <w:link w:val="Odlomakpopisa"/>
    <w:uiPriority w:val="34"/>
    <w:locked/>
    <w:rsid w:val="00685FE5"/>
    <w:rPr>
      <w:rFonts w:ascii="Times New Roman" w:eastAsia="Times New Roman" w:hAnsi="Times New Roman" w:cs="Times New Roman"/>
      <w:sz w:val="24"/>
      <w:szCs w:val="24"/>
      <w:lang w:eastAsia="hr-HR"/>
    </w:rPr>
  </w:style>
  <w:style w:type="character" w:styleId="Referencakomentara">
    <w:name w:val="annotation reference"/>
    <w:basedOn w:val="Zadanifontodlomka"/>
    <w:unhideWhenUsed/>
    <w:rsid w:val="00AC487F"/>
    <w:rPr>
      <w:sz w:val="16"/>
      <w:szCs w:val="16"/>
    </w:rPr>
  </w:style>
  <w:style w:type="paragraph" w:styleId="Tekstkomentara">
    <w:name w:val="annotation text"/>
    <w:basedOn w:val="Normal"/>
    <w:link w:val="TekstkomentaraChar"/>
    <w:unhideWhenUsed/>
    <w:rsid w:val="00AC487F"/>
    <w:rPr>
      <w:sz w:val="20"/>
      <w:szCs w:val="20"/>
    </w:rPr>
  </w:style>
  <w:style w:type="character" w:customStyle="1" w:styleId="TekstkomentaraChar">
    <w:name w:val="Tekst komentara Char"/>
    <w:basedOn w:val="Zadanifontodlomka"/>
    <w:link w:val="Tekstkomentara"/>
    <w:rsid w:val="00AC487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C487F"/>
    <w:rPr>
      <w:b/>
      <w:bCs/>
    </w:rPr>
  </w:style>
  <w:style w:type="character" w:customStyle="1" w:styleId="PredmetkomentaraChar">
    <w:name w:val="Predmet komentara Char"/>
    <w:basedOn w:val="TekstkomentaraChar"/>
    <w:link w:val="Predmetkomentara"/>
    <w:rsid w:val="00AC487F"/>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unhideWhenUsed/>
    <w:rsid w:val="00AC487F"/>
    <w:rPr>
      <w:rFonts w:ascii="Segoe UI" w:hAnsi="Segoe UI" w:cs="Segoe UI"/>
      <w:sz w:val="18"/>
      <w:szCs w:val="18"/>
    </w:rPr>
  </w:style>
  <w:style w:type="character" w:customStyle="1" w:styleId="TekstbaloniaChar">
    <w:name w:val="Tekst balončića Char"/>
    <w:basedOn w:val="Zadanifontodlomka"/>
    <w:link w:val="Tekstbalonia"/>
    <w:semiHidden/>
    <w:rsid w:val="00AC487F"/>
    <w:rPr>
      <w:rFonts w:ascii="Segoe UI" w:eastAsia="Times New Roman" w:hAnsi="Segoe UI" w:cs="Segoe UI"/>
      <w:sz w:val="18"/>
      <w:szCs w:val="18"/>
      <w:lang w:eastAsia="hr-HR"/>
    </w:rPr>
  </w:style>
  <w:style w:type="paragraph" w:customStyle="1" w:styleId="xdefault">
    <w:name w:val="x_default"/>
    <w:basedOn w:val="Normal"/>
    <w:rsid w:val="007A4CE3"/>
    <w:pPr>
      <w:spacing w:before="100" w:beforeAutospacing="1" w:after="100" w:afterAutospacing="1"/>
    </w:pPr>
  </w:style>
  <w:style w:type="paragraph" w:styleId="StandardWeb">
    <w:name w:val="Normal (Web)"/>
    <w:basedOn w:val="Normal"/>
    <w:uiPriority w:val="99"/>
    <w:unhideWhenUsed/>
    <w:rsid w:val="000703AA"/>
    <w:pPr>
      <w:spacing w:before="100" w:beforeAutospacing="1" w:after="100" w:afterAutospacing="1"/>
    </w:pPr>
  </w:style>
  <w:style w:type="paragraph" w:customStyle="1" w:styleId="xbox473596">
    <w:name w:val="x_box473596"/>
    <w:basedOn w:val="Normal"/>
    <w:rsid w:val="00F12FAC"/>
    <w:pPr>
      <w:spacing w:before="100" w:beforeAutospacing="1" w:after="100" w:afterAutospacing="1"/>
    </w:pPr>
  </w:style>
  <w:style w:type="character" w:customStyle="1" w:styleId="Naslov2Char">
    <w:name w:val="Naslov 2 Char"/>
    <w:basedOn w:val="Zadanifontodlomka"/>
    <w:link w:val="Naslov2"/>
    <w:rsid w:val="00F12FAC"/>
    <w:rPr>
      <w:rFonts w:ascii="Times New Roman" w:eastAsia="Times New Roman" w:hAnsi="Times New Roman" w:cs="Times New Roman"/>
      <w:b/>
      <w:bCs/>
      <w:sz w:val="28"/>
      <w:szCs w:val="24"/>
      <w:lang w:eastAsia="hr-HR"/>
    </w:rPr>
  </w:style>
  <w:style w:type="character" w:customStyle="1" w:styleId="Naslov3Char">
    <w:name w:val="Naslov 3 Char"/>
    <w:basedOn w:val="Zadanifontodlomka"/>
    <w:link w:val="Naslov3"/>
    <w:rsid w:val="00F12FAC"/>
    <w:rPr>
      <w:rFonts w:ascii="Arial" w:eastAsia="Times New Roman" w:hAnsi="Arial" w:cs="Times New Roman"/>
      <w:b/>
      <w:bCs/>
      <w:sz w:val="26"/>
      <w:szCs w:val="26"/>
      <w:lang w:eastAsia="hr-HR"/>
    </w:rPr>
  </w:style>
  <w:style w:type="character" w:customStyle="1" w:styleId="Naslov6Char">
    <w:name w:val="Naslov 6 Char"/>
    <w:basedOn w:val="Zadanifontodlomka"/>
    <w:link w:val="Naslov6"/>
    <w:rsid w:val="00F12FAC"/>
    <w:rPr>
      <w:rFonts w:ascii="Times New Roman" w:eastAsia="Times New Roman" w:hAnsi="Times New Roman" w:cs="Times New Roman"/>
      <w:sz w:val="24"/>
      <w:szCs w:val="20"/>
      <w:lang w:val="en-AU" w:eastAsia="hr-HR"/>
    </w:rPr>
  </w:style>
  <w:style w:type="character" w:customStyle="1" w:styleId="Naslov8Char">
    <w:name w:val="Naslov 8 Char"/>
    <w:basedOn w:val="Zadanifontodlomka"/>
    <w:link w:val="Naslov8"/>
    <w:semiHidden/>
    <w:rsid w:val="00F12FAC"/>
    <w:rPr>
      <w:rFonts w:ascii="Calibri" w:eastAsia="Times New Roman" w:hAnsi="Calibri" w:cs="Times New Roman"/>
      <w:i/>
      <w:iCs/>
      <w:sz w:val="24"/>
      <w:szCs w:val="24"/>
      <w:lang w:eastAsia="hr-HR"/>
    </w:rPr>
  </w:style>
  <w:style w:type="paragraph" w:customStyle="1" w:styleId="lanka">
    <w:name w:val="članka"/>
    <w:basedOn w:val="Normal"/>
    <w:rsid w:val="00F12FAC"/>
    <w:pPr>
      <w:spacing w:line="360" w:lineRule="auto"/>
    </w:pPr>
  </w:style>
  <w:style w:type="paragraph" w:styleId="Podnoje">
    <w:name w:val="footer"/>
    <w:basedOn w:val="Normal"/>
    <w:link w:val="PodnojeChar"/>
    <w:rsid w:val="00F12FAC"/>
    <w:pPr>
      <w:tabs>
        <w:tab w:val="center" w:pos="4536"/>
        <w:tab w:val="right" w:pos="9072"/>
      </w:tabs>
    </w:pPr>
  </w:style>
  <w:style w:type="character" w:customStyle="1" w:styleId="PodnojeChar">
    <w:name w:val="Podnožje Char"/>
    <w:basedOn w:val="Zadanifontodlomka"/>
    <w:link w:val="Podnoje"/>
    <w:rsid w:val="00F12FAC"/>
    <w:rPr>
      <w:rFonts w:ascii="Times New Roman" w:eastAsia="Times New Roman" w:hAnsi="Times New Roman" w:cs="Times New Roman"/>
      <w:sz w:val="24"/>
      <w:szCs w:val="24"/>
      <w:lang w:eastAsia="hr-HR"/>
    </w:rPr>
  </w:style>
  <w:style w:type="character" w:styleId="Brojstranice">
    <w:name w:val="page number"/>
    <w:basedOn w:val="Zadanifontodlomka"/>
    <w:rsid w:val="00F12FAC"/>
  </w:style>
  <w:style w:type="paragraph" w:styleId="Kartadokumenta">
    <w:name w:val="Document Map"/>
    <w:basedOn w:val="Normal"/>
    <w:link w:val="KartadokumentaChar"/>
    <w:semiHidden/>
    <w:rsid w:val="00F12FAC"/>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semiHidden/>
    <w:rsid w:val="00F12FAC"/>
    <w:rPr>
      <w:rFonts w:ascii="Tahoma" w:eastAsia="Times New Roman" w:hAnsi="Tahoma" w:cs="Tahoma"/>
      <w:sz w:val="20"/>
      <w:szCs w:val="20"/>
      <w:shd w:val="clear" w:color="auto" w:fill="000080"/>
      <w:lang w:eastAsia="hr-HR"/>
    </w:rPr>
  </w:style>
  <w:style w:type="paragraph" w:customStyle="1" w:styleId="Tekstlanka">
    <w:name w:val="Tekst članka"/>
    <w:basedOn w:val="Normal"/>
    <w:rsid w:val="00F12FAC"/>
    <w:pPr>
      <w:widowControl w:val="0"/>
      <w:adjustRightInd w:val="0"/>
      <w:spacing w:line="360" w:lineRule="auto"/>
      <w:jc w:val="both"/>
      <w:textAlignment w:val="baseline"/>
    </w:pPr>
  </w:style>
  <w:style w:type="table" w:styleId="Reetkatablice">
    <w:name w:val="Table Grid"/>
    <w:basedOn w:val="Obinatablica"/>
    <w:uiPriority w:val="59"/>
    <w:rsid w:val="00F12FA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F12FAC"/>
    <w:pPr>
      <w:spacing w:after="0" w:line="240" w:lineRule="auto"/>
    </w:pPr>
    <w:rPr>
      <w:rFonts w:ascii="Times New Roman" w:eastAsia="Times New Roman" w:hAnsi="Times New Roman" w:cs="Times New Roman"/>
      <w:sz w:val="24"/>
      <w:szCs w:val="24"/>
      <w:lang w:eastAsia="hr-HR"/>
    </w:rPr>
  </w:style>
  <w:style w:type="paragraph" w:customStyle="1" w:styleId="Default">
    <w:name w:val="Default"/>
    <w:rsid w:val="00F12FAC"/>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Zaglavlje">
    <w:name w:val="header"/>
    <w:basedOn w:val="Normal"/>
    <w:link w:val="ZaglavljeChar"/>
    <w:rsid w:val="00F12FAC"/>
    <w:pPr>
      <w:tabs>
        <w:tab w:val="center" w:pos="4536"/>
        <w:tab w:val="right" w:pos="9072"/>
      </w:tabs>
    </w:pPr>
  </w:style>
  <w:style w:type="character" w:customStyle="1" w:styleId="ZaglavljeChar">
    <w:name w:val="Zaglavlje Char"/>
    <w:basedOn w:val="Zadanifontodlomka"/>
    <w:link w:val="Zaglavlje"/>
    <w:rsid w:val="00F12FAC"/>
    <w:rPr>
      <w:rFonts w:ascii="Times New Roman" w:eastAsia="Times New Roman" w:hAnsi="Times New Roman" w:cs="Times New Roman"/>
      <w:sz w:val="24"/>
      <w:szCs w:val="24"/>
      <w:lang w:eastAsia="hr-HR"/>
    </w:rPr>
  </w:style>
  <w:style w:type="paragraph" w:styleId="Tekstfusnote">
    <w:name w:val="footnote text"/>
    <w:aliases w:val="fn,Fußnote,Footnote Text Char Char Char,Footnote Text Char Char,Fuss nota,Tekst fusnote moj,Tekst fusnote moj Char Char,Fus nota casopis,Fus nota casopis Char,Footnote Text2,Fus nota casopis Char1 Char Char Char Char Char Char"/>
    <w:basedOn w:val="Normal"/>
    <w:link w:val="TekstfusnoteChar"/>
    <w:rsid w:val="00F12FAC"/>
    <w:rPr>
      <w:sz w:val="20"/>
      <w:szCs w:val="20"/>
    </w:rPr>
  </w:style>
  <w:style w:type="character" w:customStyle="1" w:styleId="TekstfusnoteChar">
    <w:name w:val="Tekst fusnote Char"/>
    <w:aliases w:val="fn Char,Fußnote Char,Footnote Text Char Char Char Char,Footnote Text Char Char Char1,Fuss nota Char,Tekst fusnote moj Char,Tekst fusnote moj Char Char Char,Fus nota casopis Char1,Fus nota casopis Char Char,Footnote Text2 Char"/>
    <w:basedOn w:val="Zadanifontodlomka"/>
    <w:link w:val="Tekstfusnote"/>
    <w:rsid w:val="00F12FAC"/>
    <w:rPr>
      <w:rFonts w:ascii="Times New Roman" w:eastAsia="Times New Roman" w:hAnsi="Times New Roman" w:cs="Times New Roman"/>
      <w:sz w:val="20"/>
      <w:szCs w:val="20"/>
      <w:lang w:eastAsia="hr-HR"/>
    </w:rPr>
  </w:style>
  <w:style w:type="paragraph" w:customStyle="1" w:styleId="t-9-8">
    <w:name w:val="t-9-8"/>
    <w:basedOn w:val="Normal"/>
    <w:rsid w:val="00F12FAC"/>
    <w:pPr>
      <w:spacing w:before="100" w:beforeAutospacing="1" w:after="100" w:afterAutospacing="1"/>
    </w:pPr>
  </w:style>
  <w:style w:type="numbering" w:customStyle="1" w:styleId="Bezpopisa1">
    <w:name w:val="Bez popisa1"/>
    <w:next w:val="Bezpopisa"/>
    <w:uiPriority w:val="99"/>
    <w:semiHidden/>
    <w:unhideWhenUsed/>
    <w:rsid w:val="00F12FAC"/>
  </w:style>
  <w:style w:type="table" w:customStyle="1" w:styleId="Reetkatablice1">
    <w:name w:val="Rešetka tablice1"/>
    <w:basedOn w:val="Obinatablica"/>
    <w:next w:val="Reetkatablice"/>
    <w:uiPriority w:val="59"/>
    <w:rsid w:val="00F12FA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F12FAC"/>
    <w:rPr>
      <w:i/>
      <w:iCs/>
    </w:rPr>
  </w:style>
  <w:style w:type="character" w:styleId="Hiperveza">
    <w:name w:val="Hyperlink"/>
    <w:basedOn w:val="Zadanifontodlomka"/>
    <w:uiPriority w:val="99"/>
    <w:semiHidden/>
    <w:unhideWhenUsed/>
    <w:rsid w:val="00293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50408">
      <w:bodyDiv w:val="1"/>
      <w:marLeft w:val="0"/>
      <w:marRight w:val="0"/>
      <w:marTop w:val="0"/>
      <w:marBottom w:val="0"/>
      <w:divBdr>
        <w:top w:val="none" w:sz="0" w:space="0" w:color="auto"/>
        <w:left w:val="none" w:sz="0" w:space="0" w:color="auto"/>
        <w:bottom w:val="none" w:sz="0" w:space="0" w:color="auto"/>
        <w:right w:val="none" w:sz="0" w:space="0" w:color="auto"/>
      </w:divBdr>
    </w:div>
    <w:div w:id="496699898">
      <w:bodyDiv w:val="1"/>
      <w:marLeft w:val="0"/>
      <w:marRight w:val="0"/>
      <w:marTop w:val="0"/>
      <w:marBottom w:val="0"/>
      <w:divBdr>
        <w:top w:val="none" w:sz="0" w:space="0" w:color="auto"/>
        <w:left w:val="none" w:sz="0" w:space="0" w:color="auto"/>
        <w:bottom w:val="none" w:sz="0" w:space="0" w:color="auto"/>
        <w:right w:val="none" w:sz="0" w:space="0" w:color="auto"/>
      </w:divBdr>
    </w:div>
    <w:div w:id="497308367">
      <w:bodyDiv w:val="1"/>
      <w:marLeft w:val="0"/>
      <w:marRight w:val="0"/>
      <w:marTop w:val="0"/>
      <w:marBottom w:val="0"/>
      <w:divBdr>
        <w:top w:val="none" w:sz="0" w:space="0" w:color="auto"/>
        <w:left w:val="none" w:sz="0" w:space="0" w:color="auto"/>
        <w:bottom w:val="none" w:sz="0" w:space="0" w:color="auto"/>
        <w:right w:val="none" w:sz="0" w:space="0" w:color="auto"/>
      </w:divBdr>
    </w:div>
    <w:div w:id="545458307">
      <w:bodyDiv w:val="1"/>
      <w:marLeft w:val="0"/>
      <w:marRight w:val="0"/>
      <w:marTop w:val="0"/>
      <w:marBottom w:val="0"/>
      <w:divBdr>
        <w:top w:val="none" w:sz="0" w:space="0" w:color="auto"/>
        <w:left w:val="none" w:sz="0" w:space="0" w:color="auto"/>
        <w:bottom w:val="none" w:sz="0" w:space="0" w:color="auto"/>
        <w:right w:val="none" w:sz="0" w:space="0" w:color="auto"/>
      </w:divBdr>
    </w:div>
    <w:div w:id="562331342">
      <w:bodyDiv w:val="1"/>
      <w:marLeft w:val="0"/>
      <w:marRight w:val="0"/>
      <w:marTop w:val="0"/>
      <w:marBottom w:val="0"/>
      <w:divBdr>
        <w:top w:val="none" w:sz="0" w:space="0" w:color="auto"/>
        <w:left w:val="none" w:sz="0" w:space="0" w:color="auto"/>
        <w:bottom w:val="none" w:sz="0" w:space="0" w:color="auto"/>
        <w:right w:val="none" w:sz="0" w:space="0" w:color="auto"/>
      </w:divBdr>
    </w:div>
    <w:div w:id="673917387">
      <w:bodyDiv w:val="1"/>
      <w:marLeft w:val="0"/>
      <w:marRight w:val="0"/>
      <w:marTop w:val="0"/>
      <w:marBottom w:val="0"/>
      <w:divBdr>
        <w:top w:val="none" w:sz="0" w:space="0" w:color="auto"/>
        <w:left w:val="none" w:sz="0" w:space="0" w:color="auto"/>
        <w:bottom w:val="none" w:sz="0" w:space="0" w:color="auto"/>
        <w:right w:val="none" w:sz="0" w:space="0" w:color="auto"/>
      </w:divBdr>
    </w:div>
    <w:div w:id="749041111">
      <w:bodyDiv w:val="1"/>
      <w:marLeft w:val="0"/>
      <w:marRight w:val="0"/>
      <w:marTop w:val="0"/>
      <w:marBottom w:val="0"/>
      <w:divBdr>
        <w:top w:val="none" w:sz="0" w:space="0" w:color="auto"/>
        <w:left w:val="none" w:sz="0" w:space="0" w:color="auto"/>
        <w:bottom w:val="none" w:sz="0" w:space="0" w:color="auto"/>
        <w:right w:val="none" w:sz="0" w:space="0" w:color="auto"/>
      </w:divBdr>
    </w:div>
    <w:div w:id="776174751">
      <w:bodyDiv w:val="1"/>
      <w:marLeft w:val="0"/>
      <w:marRight w:val="0"/>
      <w:marTop w:val="0"/>
      <w:marBottom w:val="0"/>
      <w:divBdr>
        <w:top w:val="none" w:sz="0" w:space="0" w:color="auto"/>
        <w:left w:val="none" w:sz="0" w:space="0" w:color="auto"/>
        <w:bottom w:val="none" w:sz="0" w:space="0" w:color="auto"/>
        <w:right w:val="none" w:sz="0" w:space="0" w:color="auto"/>
      </w:divBdr>
    </w:div>
    <w:div w:id="1301499465">
      <w:bodyDiv w:val="1"/>
      <w:marLeft w:val="0"/>
      <w:marRight w:val="0"/>
      <w:marTop w:val="0"/>
      <w:marBottom w:val="0"/>
      <w:divBdr>
        <w:top w:val="none" w:sz="0" w:space="0" w:color="auto"/>
        <w:left w:val="none" w:sz="0" w:space="0" w:color="auto"/>
        <w:bottom w:val="none" w:sz="0" w:space="0" w:color="auto"/>
        <w:right w:val="none" w:sz="0" w:space="0" w:color="auto"/>
      </w:divBdr>
    </w:div>
    <w:div w:id="1439912660">
      <w:bodyDiv w:val="1"/>
      <w:marLeft w:val="0"/>
      <w:marRight w:val="0"/>
      <w:marTop w:val="0"/>
      <w:marBottom w:val="0"/>
      <w:divBdr>
        <w:top w:val="none" w:sz="0" w:space="0" w:color="auto"/>
        <w:left w:val="none" w:sz="0" w:space="0" w:color="auto"/>
        <w:bottom w:val="none" w:sz="0" w:space="0" w:color="auto"/>
        <w:right w:val="none" w:sz="0" w:space="0" w:color="auto"/>
      </w:divBdr>
    </w:div>
    <w:div w:id="1492717372">
      <w:bodyDiv w:val="1"/>
      <w:marLeft w:val="0"/>
      <w:marRight w:val="0"/>
      <w:marTop w:val="0"/>
      <w:marBottom w:val="0"/>
      <w:divBdr>
        <w:top w:val="none" w:sz="0" w:space="0" w:color="auto"/>
        <w:left w:val="none" w:sz="0" w:space="0" w:color="auto"/>
        <w:bottom w:val="none" w:sz="0" w:space="0" w:color="auto"/>
        <w:right w:val="none" w:sz="0" w:space="0" w:color="auto"/>
      </w:divBdr>
    </w:div>
    <w:div w:id="1752385020">
      <w:bodyDiv w:val="1"/>
      <w:marLeft w:val="0"/>
      <w:marRight w:val="0"/>
      <w:marTop w:val="0"/>
      <w:marBottom w:val="0"/>
      <w:divBdr>
        <w:top w:val="none" w:sz="0" w:space="0" w:color="auto"/>
        <w:left w:val="none" w:sz="0" w:space="0" w:color="auto"/>
        <w:bottom w:val="none" w:sz="0" w:space="0" w:color="auto"/>
        <w:right w:val="none" w:sz="0" w:space="0" w:color="auto"/>
      </w:divBdr>
    </w:div>
    <w:div w:id="1843816983">
      <w:bodyDiv w:val="1"/>
      <w:marLeft w:val="0"/>
      <w:marRight w:val="0"/>
      <w:marTop w:val="0"/>
      <w:marBottom w:val="0"/>
      <w:divBdr>
        <w:top w:val="none" w:sz="0" w:space="0" w:color="auto"/>
        <w:left w:val="none" w:sz="0" w:space="0" w:color="auto"/>
        <w:bottom w:val="none" w:sz="0" w:space="0" w:color="auto"/>
        <w:right w:val="none" w:sz="0" w:space="0" w:color="auto"/>
      </w:divBdr>
    </w:div>
    <w:div w:id="1929848636">
      <w:bodyDiv w:val="1"/>
      <w:marLeft w:val="0"/>
      <w:marRight w:val="0"/>
      <w:marTop w:val="0"/>
      <w:marBottom w:val="0"/>
      <w:divBdr>
        <w:top w:val="none" w:sz="0" w:space="0" w:color="auto"/>
        <w:left w:val="none" w:sz="0" w:space="0" w:color="auto"/>
        <w:bottom w:val="none" w:sz="0" w:space="0" w:color="auto"/>
        <w:right w:val="none" w:sz="0" w:space="0" w:color="auto"/>
      </w:divBdr>
    </w:div>
    <w:div w:id="2069567728">
      <w:bodyDiv w:val="1"/>
      <w:marLeft w:val="0"/>
      <w:marRight w:val="0"/>
      <w:marTop w:val="0"/>
      <w:marBottom w:val="0"/>
      <w:divBdr>
        <w:top w:val="none" w:sz="0" w:space="0" w:color="auto"/>
        <w:left w:val="none" w:sz="0" w:space="0" w:color="auto"/>
        <w:bottom w:val="none" w:sz="0" w:space="0" w:color="auto"/>
        <w:right w:val="none" w:sz="0" w:space="0" w:color="auto"/>
      </w:divBdr>
    </w:div>
    <w:div w:id="2139453028">
      <w:bodyDiv w:val="1"/>
      <w:marLeft w:val="0"/>
      <w:marRight w:val="0"/>
      <w:marTop w:val="0"/>
      <w:marBottom w:val="0"/>
      <w:divBdr>
        <w:top w:val="none" w:sz="0" w:space="0" w:color="auto"/>
        <w:left w:val="none" w:sz="0" w:space="0" w:color="auto"/>
        <w:bottom w:val="none" w:sz="0" w:space="0" w:color="auto"/>
        <w:right w:val="none" w:sz="0" w:space="0" w:color="auto"/>
      </w:divBdr>
      <w:divsChild>
        <w:div w:id="1338268458">
          <w:marLeft w:val="0"/>
          <w:marRight w:val="0"/>
          <w:marTop w:val="0"/>
          <w:marBottom w:val="0"/>
          <w:divBdr>
            <w:top w:val="none" w:sz="0" w:space="0" w:color="auto"/>
            <w:left w:val="none" w:sz="0" w:space="0" w:color="auto"/>
            <w:bottom w:val="none" w:sz="0" w:space="0" w:color="auto"/>
            <w:right w:val="none" w:sz="0" w:space="0" w:color="auto"/>
          </w:divBdr>
        </w:div>
        <w:div w:id="252933027">
          <w:marLeft w:val="0"/>
          <w:marRight w:val="0"/>
          <w:marTop w:val="0"/>
          <w:marBottom w:val="0"/>
          <w:divBdr>
            <w:top w:val="none" w:sz="0" w:space="0" w:color="auto"/>
            <w:left w:val="none" w:sz="0" w:space="0" w:color="auto"/>
            <w:bottom w:val="none" w:sz="0" w:space="0" w:color="auto"/>
            <w:right w:val="none" w:sz="0" w:space="0" w:color="auto"/>
          </w:divBdr>
        </w:div>
        <w:div w:id="165290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3856</TotalTime>
  <Pages>45</Pages>
  <Words>18772</Words>
  <Characters>107007</Characters>
  <Application>Microsoft Office Word</Application>
  <DocSecurity>0</DocSecurity>
  <Lines>891</Lines>
  <Paragraphs>251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Nesterović</dc:creator>
  <cp:keywords/>
  <dc:description/>
  <cp:lastModifiedBy>Martina Štefković</cp:lastModifiedBy>
  <cp:revision>51</cp:revision>
  <cp:lastPrinted>2024-02-29T06:36:00Z</cp:lastPrinted>
  <dcterms:created xsi:type="dcterms:W3CDTF">2024-02-17T11:19:00Z</dcterms:created>
  <dcterms:modified xsi:type="dcterms:W3CDTF">2024-02-29T06:42:00Z</dcterms:modified>
</cp:coreProperties>
</file>